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631A7" w14:textId="77777777" w:rsidR="00E92C40" w:rsidRDefault="00EF02E5">
      <w:pPr>
        <w:pStyle w:val="afffffe"/>
        <w:framePr w:wrap="around"/>
        <w:rPr>
          <w:color w:val="000000"/>
        </w:rPr>
      </w:pPr>
      <w:r>
        <w:rPr>
          <w:rFonts w:ascii="Times New Roman"/>
          <w:color w:val="000000"/>
        </w:rPr>
        <w:t>ICS</w:t>
      </w:r>
      <w:r>
        <w:rPr>
          <w:color w:val="000000"/>
        </w:rPr>
        <w:t> </w:t>
      </w:r>
      <w:bookmarkStart w:id="0" w:name="ICS"/>
      <w:r>
        <w:rPr>
          <w:color w:val="000000"/>
        </w:rPr>
        <w:fldChar w:fldCharType="begin">
          <w:ffData>
            <w:name w:val="ICS"/>
            <w:enabled/>
            <w:calcOnExit w:val="0"/>
            <w:helpText w:type="autoText" w:val="请输入正确的ICS号："/>
            <w:textInput>
              <w:default w:val="点击此处添加ICS号"/>
            </w:textInput>
          </w:ffData>
        </w:fldChar>
      </w:r>
      <w:r>
        <w:rPr>
          <w:color w:val="000000"/>
        </w:rPr>
        <w:instrText xml:space="preserve"> FORMTEXT </w:instrText>
      </w:r>
      <w:r>
        <w:rPr>
          <w:color w:val="000000"/>
        </w:rPr>
      </w:r>
      <w:r>
        <w:rPr>
          <w:color w:val="000000"/>
        </w:rPr>
        <w:fldChar w:fldCharType="separate"/>
      </w:r>
      <w:r>
        <w:rPr>
          <w:rFonts w:hint="eastAsia"/>
          <w:color w:val="000000"/>
        </w:rPr>
        <w:t>13.300</w:t>
      </w:r>
      <w:r>
        <w:rPr>
          <w:color w:val="000000"/>
        </w:rPr>
        <w:fldChar w:fldCharType="end"/>
      </w:r>
      <w:bookmarkEnd w:id="0"/>
    </w:p>
    <w:bookmarkStart w:id="1" w:name="WXFLH"/>
    <w:p w14:paraId="4D1B9514" w14:textId="77777777" w:rsidR="00E92C40" w:rsidRDefault="00EF02E5">
      <w:pPr>
        <w:pStyle w:val="afffffe"/>
        <w:framePr w:wrap="around"/>
        <w:rPr>
          <w:color w:val="000000"/>
        </w:rPr>
      </w:pPr>
      <w:r>
        <w:rPr>
          <w:color w:val="000000"/>
        </w:rPr>
        <w:fldChar w:fldCharType="begin">
          <w:ffData>
            <w:name w:val="WXFLH"/>
            <w:enabled/>
            <w:calcOnExit w:val="0"/>
            <w:helpText w:type="autoText" w:val="请输入中国标准文献分类号："/>
            <w:textInput>
              <w:default w:val="点击此处添加中国标准文献分类号"/>
            </w:textInput>
          </w:ffData>
        </w:fldChar>
      </w:r>
      <w:r>
        <w:rPr>
          <w:color w:val="000000"/>
        </w:rPr>
        <w:instrText xml:space="preserve"> FORMTEXT </w:instrText>
      </w:r>
      <w:r>
        <w:rPr>
          <w:color w:val="000000"/>
        </w:rPr>
      </w:r>
      <w:r>
        <w:rPr>
          <w:color w:val="000000"/>
        </w:rPr>
        <w:fldChar w:fldCharType="separate"/>
      </w:r>
      <w:r>
        <w:rPr>
          <w:rFonts w:hint="eastAsia"/>
          <w:noProof/>
          <w:color w:val="000000"/>
        </w:rPr>
        <w:t>G 09</w:t>
      </w:r>
      <w:r>
        <w:rPr>
          <w:color w:val="000000"/>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E92C40" w14:paraId="5FFBE996" w14:textId="77777777">
        <w:tc>
          <w:tcPr>
            <w:tcW w:w="9854" w:type="dxa"/>
            <w:tcBorders>
              <w:top w:val="nil"/>
              <w:left w:val="nil"/>
              <w:bottom w:val="nil"/>
              <w:right w:val="nil"/>
            </w:tcBorders>
            <w:shd w:val="clear" w:color="auto" w:fill="auto"/>
          </w:tcPr>
          <w:p w14:paraId="3633100F" w14:textId="77777777" w:rsidR="00E92C40" w:rsidRDefault="00EF02E5">
            <w:pPr>
              <w:pStyle w:val="afffffe"/>
              <w:framePr w:wrap="around"/>
              <w:rPr>
                <w:color w:val="000000"/>
              </w:rPr>
            </w:pPr>
            <w:r>
              <w:rPr>
                <w:noProof/>
                <w:color w:val="000000"/>
              </w:rPr>
              <mc:AlternateContent>
                <mc:Choice Requires="wps">
                  <w:drawing>
                    <wp:anchor distT="0" distB="0" distL="114300" distR="114300" simplePos="0" relativeHeight="251660288" behindDoc="1" locked="0" layoutInCell="1" allowOverlap="1" wp14:anchorId="7EAA120F" wp14:editId="5D83BC76">
                      <wp:simplePos x="0" y="0"/>
                      <wp:positionH relativeFrom="column">
                        <wp:posOffset>-66675</wp:posOffset>
                      </wp:positionH>
                      <wp:positionV relativeFrom="paragraph">
                        <wp:posOffset>0</wp:posOffset>
                      </wp:positionV>
                      <wp:extent cx="866775" cy="198120"/>
                      <wp:effectExtent l="0" t="0" r="952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B053C" id="BAH" o:spid="_x0000_s1026" style="position:absolute;left:0;text-align:left;margin-left:-5.25pt;margin-top:0;width:68.2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K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A7RxAp3AgAA8gQAAA4AAAAA&#10;AAAAAAAAAAAALgIAAGRycy9lMm9Eb2MueG1sUEsBAi0AFAAGAAgAAAAhAE//4CzcAAAABwEAAA8A&#10;AAAAAAAAAAAAAAAA0QQAAGRycy9kb3ducmV2LnhtbFBLBQYAAAAABAAEAPMAAADaBQAAAAA=&#10;" stroked="f"/>
                  </w:pict>
                </mc:Fallback>
              </mc:AlternateContent>
            </w:r>
            <w:r>
              <w:rPr>
                <w:color w:val="000000"/>
              </w:rPr>
              <w:fldChar w:fldCharType="begin">
                <w:ffData>
                  <w:name w:val="BAH"/>
                  <w:enabled/>
                  <w:calcOnExit w:val="0"/>
                  <w:textInput/>
                </w:ffData>
              </w:fldChar>
            </w:r>
            <w:bookmarkStart w:id="2" w:name="BAH"/>
            <w:r>
              <w:rPr>
                <w:color w:val="000000"/>
              </w:rPr>
              <w:instrText xml:space="preserve"> FORMTEXT </w:instrText>
            </w:r>
            <w:r>
              <w:rPr>
                <w:color w:val="000000"/>
              </w:rPr>
            </w:r>
            <w:r>
              <w:rPr>
                <w:color w:val="000000"/>
              </w:rPr>
              <w:fldChar w:fldCharType="separate"/>
            </w:r>
            <w:r>
              <w:rPr>
                <w:rFonts w:hint="eastAsia"/>
                <w:noProof/>
                <w:color w:val="000000"/>
              </w:rPr>
              <w:t>备案号：</w:t>
            </w:r>
            <w:r>
              <w:rPr>
                <w:color w:val="000000"/>
              </w:rPr>
              <w:fldChar w:fldCharType="end"/>
            </w:r>
            <w:bookmarkEnd w:id="2"/>
          </w:p>
        </w:tc>
      </w:tr>
    </w:tbl>
    <w:p w14:paraId="5E3D0D09" w14:textId="77777777" w:rsidR="00E92C40" w:rsidRDefault="00EF02E5">
      <w:pPr>
        <w:pStyle w:val="affffb"/>
        <w:framePr w:wrap="around"/>
        <w:rPr>
          <w:color w:val="000000"/>
        </w:rPr>
      </w:pPr>
      <w:r>
        <w:rPr>
          <w:color w:val="000000"/>
        </w:rPr>
        <w:t>DB</w:t>
      </w:r>
      <w:bookmarkStart w:id="3" w:name="c3"/>
      <w:r>
        <w:rPr>
          <w:color w:val="000000"/>
        </w:rPr>
        <w:fldChar w:fldCharType="begin">
          <w:ffData>
            <w:name w:val="c3"/>
            <w:enabled/>
            <w:calcOnExit w:val="0"/>
            <w:textInput>
              <w:maxLength w:val="2"/>
            </w:textInput>
          </w:ffData>
        </w:fldChar>
      </w:r>
      <w:r>
        <w:rPr>
          <w:color w:val="000000"/>
        </w:rPr>
        <w:instrText xml:space="preserve"> FORMTEXT </w:instrText>
      </w:r>
      <w:r>
        <w:rPr>
          <w:color w:val="000000"/>
        </w:rPr>
      </w:r>
      <w:r>
        <w:rPr>
          <w:color w:val="000000"/>
        </w:rPr>
        <w:fldChar w:fldCharType="separate"/>
      </w:r>
      <w:r>
        <w:rPr>
          <w:rFonts w:hint="eastAsia"/>
          <w:noProof/>
          <w:color w:val="000000"/>
        </w:rPr>
        <w:t>11</w:t>
      </w:r>
      <w:r>
        <w:rPr>
          <w:color w:val="000000"/>
        </w:rPr>
        <w:fldChar w:fldCharType="end"/>
      </w:r>
      <w:bookmarkEnd w:id="3"/>
    </w:p>
    <w:bookmarkStart w:id="4" w:name="c4"/>
    <w:p w14:paraId="672A0189" w14:textId="77777777" w:rsidR="00E92C40" w:rsidRDefault="00EF02E5">
      <w:pPr>
        <w:pStyle w:val="affffc"/>
        <w:framePr w:wrap="around"/>
        <w:rPr>
          <w:color w:val="000000"/>
        </w:rPr>
      </w:pPr>
      <w:r>
        <w:rPr>
          <w:color w:val="000000"/>
        </w:rPr>
        <w:fldChar w:fldCharType="begin">
          <w:ffData>
            <w:name w:val="c4"/>
            <w:enabled/>
            <w:calcOnExit w:val="0"/>
            <w:textInput/>
          </w:ffData>
        </w:fldChar>
      </w:r>
      <w:r>
        <w:rPr>
          <w:color w:val="000000"/>
        </w:rPr>
        <w:instrText xml:space="preserve"> FORMTEXT </w:instrText>
      </w:r>
      <w:r>
        <w:rPr>
          <w:color w:val="000000"/>
        </w:rPr>
      </w:r>
      <w:r>
        <w:rPr>
          <w:color w:val="000000"/>
        </w:rPr>
        <w:fldChar w:fldCharType="separate"/>
      </w:r>
      <w:r>
        <w:rPr>
          <w:rFonts w:hint="eastAsia"/>
          <w:noProof/>
          <w:color w:val="000000"/>
        </w:rPr>
        <w:t>北京市</w:t>
      </w:r>
      <w:r>
        <w:rPr>
          <w:color w:val="000000"/>
        </w:rPr>
        <w:fldChar w:fldCharType="end"/>
      </w:r>
      <w:bookmarkEnd w:id="4"/>
      <w:r>
        <w:rPr>
          <w:rFonts w:hint="eastAsia"/>
          <w:color w:val="000000"/>
        </w:rPr>
        <w:t>地方标准</w:t>
      </w:r>
    </w:p>
    <w:p w14:paraId="5189DADB" w14:textId="33E34FC9" w:rsidR="00E92C40" w:rsidRDefault="00EF02E5">
      <w:pPr>
        <w:pStyle w:val="20"/>
        <w:framePr w:wrap="around"/>
        <w:rPr>
          <w:color w:val="000000" w:themeColor="text1"/>
        </w:rPr>
      </w:pPr>
      <w:r>
        <w:rPr>
          <w:rFonts w:ascii="Times New Roman"/>
          <w:color w:val="000000" w:themeColor="text1"/>
        </w:rPr>
        <w:t xml:space="preserve">DB </w:t>
      </w:r>
      <w:bookmarkStart w:id="5" w:name="StdNo0"/>
      <w:r>
        <w:rPr>
          <w:color w:val="000000" w:themeColor="text1"/>
        </w:rPr>
        <w:fldChar w:fldCharType="begin">
          <w:ffData>
            <w:name w:val="StdNo0"/>
            <w:enabled/>
            <w:calcOnExit w:val="0"/>
            <w:textInput>
              <w:default w:val="XX"/>
              <w:maxLength w:val="2"/>
            </w:textInput>
          </w:ffData>
        </w:fldChar>
      </w:r>
      <w:r>
        <w:rPr>
          <w:color w:val="000000" w:themeColor="text1"/>
        </w:rPr>
        <w:instrText xml:space="preserve"> FORMTEXT </w:instrText>
      </w:r>
      <w:r>
        <w:rPr>
          <w:color w:val="000000" w:themeColor="text1"/>
        </w:rPr>
      </w:r>
      <w:r>
        <w:rPr>
          <w:color w:val="000000" w:themeColor="text1"/>
        </w:rPr>
        <w:fldChar w:fldCharType="separate"/>
      </w:r>
      <w:r>
        <w:rPr>
          <w:rFonts w:hint="eastAsia"/>
          <w:color w:val="000000" w:themeColor="text1"/>
        </w:rPr>
        <w:t>11</w:t>
      </w:r>
      <w:r>
        <w:rPr>
          <w:color w:val="000000" w:themeColor="text1"/>
        </w:rPr>
        <w:fldChar w:fldCharType="end"/>
      </w:r>
      <w:bookmarkEnd w:id="5"/>
      <w:r>
        <w:rPr>
          <w:color w:val="000000" w:themeColor="text1"/>
        </w:rPr>
        <w:t>/</w:t>
      </w:r>
      <w:r w:rsidR="000F70D2">
        <w:rPr>
          <w:color w:val="000000" w:themeColor="text1"/>
        </w:rPr>
        <w:t>T</w:t>
      </w:r>
      <w:r>
        <w:rPr>
          <w:color w:val="000000" w:themeColor="text1"/>
        </w:rPr>
        <w:t xml:space="preserve"> </w:t>
      </w:r>
      <w:r>
        <w:rPr>
          <w:rFonts w:hint="eastAsia"/>
          <w:color w:val="000000" w:themeColor="text1"/>
        </w:rPr>
        <w:t>1014</w:t>
      </w:r>
      <w:r>
        <w:rPr>
          <w:color w:val="000000" w:themeColor="text1"/>
        </w:rPr>
        <w:t>—</w:t>
      </w:r>
      <w:r>
        <w:rPr>
          <w:rFonts w:hint="eastAsia"/>
          <w:color w:val="000000" w:themeColor="text1"/>
        </w:rPr>
        <w:t>2021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E92C40" w14:paraId="34CA5224" w14:textId="77777777">
        <w:tc>
          <w:tcPr>
            <w:tcW w:w="9356" w:type="dxa"/>
            <w:tcBorders>
              <w:top w:val="nil"/>
              <w:left w:val="nil"/>
              <w:bottom w:val="nil"/>
              <w:right w:val="nil"/>
            </w:tcBorders>
            <w:shd w:val="clear" w:color="auto" w:fill="auto"/>
          </w:tcPr>
          <w:bookmarkStart w:id="6" w:name="DT"/>
          <w:p w14:paraId="309DE797" w14:textId="0B322EFE" w:rsidR="00E92C40" w:rsidRDefault="00EF02E5" w:rsidP="000F70D2">
            <w:pPr>
              <w:pStyle w:val="afff8"/>
              <w:framePr w:wrap="around"/>
              <w:wordWrap w:val="0"/>
              <w:rPr>
                <w:color w:val="000000" w:themeColor="text1"/>
              </w:rPr>
            </w:pPr>
            <w:r>
              <w:rPr>
                <w:noProof/>
                <w:color w:val="000000" w:themeColor="text1"/>
              </w:rPr>
              <mc:AlternateContent>
                <mc:Choice Requires="wps">
                  <w:drawing>
                    <wp:anchor distT="0" distB="0" distL="114300" distR="114300" simplePos="0" relativeHeight="251657216" behindDoc="1" locked="0" layoutInCell="1" allowOverlap="1" wp14:anchorId="21E1F42E" wp14:editId="74613F1B">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1C939"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mc:Fallback>
              </mc:AlternateContent>
            </w:r>
            <w:r>
              <w:rPr>
                <w:rFonts w:hint="eastAsia"/>
                <w:color w:val="000000" w:themeColor="text1"/>
              </w:rPr>
              <w:t>代替DB11/</w:t>
            </w:r>
            <w:r w:rsidR="000F70D2">
              <w:rPr>
                <w:color w:val="000000" w:themeColor="text1"/>
              </w:rPr>
              <w:t xml:space="preserve">T </w:t>
            </w:r>
            <w:r>
              <w:rPr>
                <w:rFonts w:hint="eastAsia"/>
                <w:color w:val="000000" w:themeColor="text1"/>
              </w:rPr>
              <w:t>1014</w:t>
            </w:r>
            <w:r w:rsidR="00DA2875">
              <w:rPr>
                <w:color w:val="000000" w:themeColor="text1"/>
              </w:rPr>
              <w:t>—</w:t>
            </w:r>
            <w:r>
              <w:rPr>
                <w:rFonts w:hint="eastAsia"/>
                <w:color w:val="000000" w:themeColor="text1"/>
              </w:rPr>
              <w:t>2013</w:t>
            </w:r>
            <w:bookmarkEnd w:id="6"/>
          </w:p>
        </w:tc>
      </w:tr>
    </w:tbl>
    <w:p w14:paraId="50BDF117" w14:textId="77777777" w:rsidR="00E92C40" w:rsidRDefault="00E92C40">
      <w:pPr>
        <w:pStyle w:val="20"/>
        <w:framePr w:wrap="around"/>
        <w:rPr>
          <w:color w:val="000000"/>
        </w:rPr>
      </w:pPr>
    </w:p>
    <w:p w14:paraId="21D6DA2C" w14:textId="77777777" w:rsidR="00E92C40" w:rsidRDefault="00E92C40">
      <w:pPr>
        <w:pStyle w:val="20"/>
        <w:framePr w:wrap="around"/>
        <w:rPr>
          <w:color w:val="000000"/>
        </w:rPr>
      </w:pPr>
    </w:p>
    <w:bookmarkStart w:id="7" w:name="StdName"/>
    <w:p w14:paraId="4A7C8328" w14:textId="77777777" w:rsidR="00E92C40" w:rsidRDefault="00EF02E5">
      <w:pPr>
        <w:pStyle w:val="afff9"/>
        <w:framePr w:wrap="around"/>
        <w:rPr>
          <w:color w:val="000000"/>
        </w:rPr>
      </w:pPr>
      <w:r>
        <w:rPr>
          <w:color w:val="000000"/>
        </w:rPr>
        <w:fldChar w:fldCharType="begin">
          <w:ffData>
            <w:name w:val="StdName"/>
            <w:enabled/>
            <w:calcOnExit w:val="0"/>
            <w:textInput>
              <w:default w:val="点击此处添加标准名称"/>
            </w:textInput>
          </w:ffData>
        </w:fldChar>
      </w:r>
      <w:r>
        <w:rPr>
          <w:color w:val="000000"/>
        </w:rPr>
        <w:instrText xml:space="preserve"> FORMTEXT </w:instrText>
      </w:r>
      <w:r>
        <w:rPr>
          <w:color w:val="000000"/>
        </w:rPr>
      </w:r>
      <w:r>
        <w:rPr>
          <w:color w:val="000000"/>
        </w:rPr>
        <w:fldChar w:fldCharType="separate"/>
      </w:r>
      <w:r>
        <w:rPr>
          <w:rFonts w:hint="eastAsia"/>
          <w:noProof/>
          <w:color w:val="000000"/>
        </w:rPr>
        <w:t>液氨使用与储存安全技术规范</w:t>
      </w:r>
      <w:r>
        <w:rPr>
          <w:color w:val="000000"/>
        </w:rPr>
        <w:fldChar w:fldCharType="end"/>
      </w:r>
      <w:bookmarkEnd w:id="7"/>
    </w:p>
    <w:bookmarkStart w:id="8" w:name="StdEnglishName"/>
    <w:p w14:paraId="25C05FB6" w14:textId="77777777" w:rsidR="00E92C40" w:rsidRDefault="00EF02E5">
      <w:pPr>
        <w:pStyle w:val="afffa"/>
        <w:framePr w:wrap="around"/>
        <w:rPr>
          <w:rFonts w:ascii="黑体"/>
          <w:color w:val="000000"/>
        </w:rPr>
      </w:pPr>
      <w:r>
        <w:rPr>
          <w:rFonts w:ascii="黑体" w:hint="eastAsia"/>
          <w:color w:val="000000"/>
        </w:rPr>
        <w:fldChar w:fldCharType="begin">
          <w:ffData>
            <w:name w:val="StdEnglishName"/>
            <w:enabled/>
            <w:calcOnExit w:val="0"/>
            <w:textInput>
              <w:default w:val="点击此处添加标准英文译名"/>
            </w:textInput>
          </w:ffData>
        </w:fldChar>
      </w:r>
      <w:r>
        <w:rPr>
          <w:rFonts w:ascii="黑体" w:hint="eastAsia"/>
          <w:color w:val="000000"/>
        </w:rPr>
        <w:instrText xml:space="preserve"> FORMTEXT </w:instrText>
      </w:r>
      <w:r>
        <w:rPr>
          <w:rFonts w:ascii="黑体" w:hint="eastAsia"/>
          <w:color w:val="000000"/>
        </w:rPr>
      </w:r>
      <w:r>
        <w:rPr>
          <w:rFonts w:ascii="黑体" w:hint="eastAsia"/>
          <w:color w:val="000000"/>
        </w:rPr>
        <w:fldChar w:fldCharType="separate"/>
      </w:r>
      <w:r>
        <w:rPr>
          <w:rFonts w:ascii="黑体" w:hint="eastAsia"/>
          <w:noProof/>
          <w:color w:val="000000"/>
        </w:rPr>
        <w:t xml:space="preserve">Safety </w:t>
      </w:r>
      <w:r>
        <w:rPr>
          <w:rFonts w:ascii="黑体"/>
          <w:noProof/>
          <w:color w:val="000000"/>
        </w:rPr>
        <w:t>t</w:t>
      </w:r>
      <w:r>
        <w:rPr>
          <w:rFonts w:ascii="黑体" w:hint="eastAsia"/>
          <w:noProof/>
          <w:color w:val="000000"/>
        </w:rPr>
        <w:t>echnical specification for use and storage of liquid ammonia</w:t>
      </w:r>
      <w:r>
        <w:rPr>
          <w:rFonts w:ascii="黑体" w:hint="eastAsia"/>
          <w:color w:val="000000"/>
        </w:rPr>
        <w:fldChar w:fldCharType="end"/>
      </w:r>
      <w:bookmarkEnd w:id="8"/>
    </w:p>
    <w:p w14:paraId="60249C36" w14:textId="77777777" w:rsidR="00E92C40" w:rsidRDefault="00E92C40">
      <w:pPr>
        <w:pStyle w:val="afffb"/>
        <w:framePr w:wrap="around"/>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E92C40" w14:paraId="77F12613" w14:textId="77777777">
        <w:tc>
          <w:tcPr>
            <w:tcW w:w="9855" w:type="dxa"/>
            <w:tcBorders>
              <w:top w:val="nil"/>
              <w:left w:val="nil"/>
              <w:bottom w:val="nil"/>
              <w:right w:val="nil"/>
            </w:tcBorders>
            <w:shd w:val="clear" w:color="auto" w:fill="auto"/>
          </w:tcPr>
          <w:p w14:paraId="7789AE50" w14:textId="72FCEDA7" w:rsidR="00E92C40" w:rsidRPr="00FE0280" w:rsidRDefault="00EF02E5">
            <w:pPr>
              <w:pStyle w:val="afffc"/>
              <w:framePr w:wrap="around"/>
              <w:rPr>
                <w:color w:val="000000"/>
                <w:sz w:val="28"/>
              </w:rPr>
            </w:pPr>
            <w:r w:rsidRPr="00FE0280">
              <w:rPr>
                <w:noProof/>
                <w:color w:val="000000"/>
                <w:sz w:val="28"/>
              </w:rPr>
              <mc:AlternateContent>
                <mc:Choice Requires="wps">
                  <w:drawing>
                    <wp:anchor distT="0" distB="0" distL="114300" distR="114300" simplePos="0" relativeHeight="251659264" behindDoc="1" locked="1" layoutInCell="1" allowOverlap="1" wp14:anchorId="51BEEA11" wp14:editId="7357A0FF">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7E2AC" id="RQ" o:spid="_x0000_s1026" style="position:absolute;left:0;text-align:left;margin-left:173.3pt;margin-top:45.15pt;width:15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m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R/f7mdQIAAPIEAAAOAAAAAAAA&#10;AAAAAAAAAC4CAABkcnMvZTJvRG9jLnhtbFBLAQItABQABgAIAAAAIQD0N6/e3AAAAAoBAAAPAAAA&#10;AAAAAAAAAAAAAM8EAABkcnMvZG93bnJldi54bWxQSwUGAAAAAAQABADzAAAA2AUAAAAA&#10;" stroked="f">
                      <w10:anchorlock/>
                    </v:rect>
                  </w:pict>
                </mc:Fallback>
              </mc:AlternateContent>
            </w:r>
            <w:r w:rsidRPr="00FE0280">
              <w:rPr>
                <w:noProof/>
                <w:color w:val="000000"/>
                <w:sz w:val="28"/>
              </w:rPr>
              <mc:AlternateContent>
                <mc:Choice Requires="wps">
                  <w:drawing>
                    <wp:anchor distT="0" distB="0" distL="114300" distR="114300" simplePos="0" relativeHeight="251658240" behindDoc="1" locked="0" layoutInCell="1" allowOverlap="1" wp14:anchorId="6F4C0050" wp14:editId="51B4FB2B">
                      <wp:simplePos x="0" y="0"/>
                      <wp:positionH relativeFrom="column">
                        <wp:posOffset>2454910</wp:posOffset>
                      </wp:positionH>
                      <wp:positionV relativeFrom="paragraph">
                        <wp:posOffset>255905</wp:posOffset>
                      </wp:positionV>
                      <wp:extent cx="1270000" cy="304800"/>
                      <wp:effectExtent l="0" t="0" r="635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26BEE" id="LB" o:spid="_x0000_s1026" style="position:absolute;left:0;text-align:left;margin-left:193.3pt;margin-top:20.1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dC7xcHUCAADyBAAADgAAAAAA&#10;AAAAAAAAAAAuAgAAZHJzL2Uyb0RvYy54bWxQSwECLQAUAAYACAAAACEAIk4ljd0AAAAJAQAADwAA&#10;AAAAAAAAAAAAAADPBAAAZHJzL2Rvd25yZXYueG1sUEsFBgAAAAAEAAQA8wAAANkFAAAAAA==&#10;" stroked="f"/>
                  </w:pict>
                </mc:Fallback>
              </mc:AlternateContent>
            </w:r>
            <w:r w:rsidRPr="00FE0280">
              <w:rPr>
                <w:rFonts w:hint="eastAsia"/>
                <w:color w:val="000000"/>
                <w:sz w:val="28"/>
              </w:rPr>
              <w:t>征求意见稿</w:t>
            </w:r>
          </w:p>
        </w:tc>
      </w:tr>
      <w:bookmarkStart w:id="9" w:name="WCRQ"/>
      <w:tr w:rsidR="00E92C40" w14:paraId="58651474" w14:textId="77777777">
        <w:tc>
          <w:tcPr>
            <w:tcW w:w="9855" w:type="dxa"/>
            <w:tcBorders>
              <w:top w:val="nil"/>
              <w:left w:val="nil"/>
              <w:bottom w:val="nil"/>
              <w:right w:val="nil"/>
            </w:tcBorders>
            <w:shd w:val="clear" w:color="auto" w:fill="auto"/>
          </w:tcPr>
          <w:p w14:paraId="794EA035" w14:textId="40C779AF" w:rsidR="00E92C40" w:rsidRDefault="00EF02E5">
            <w:pPr>
              <w:pStyle w:val="afffd"/>
              <w:framePr w:wrap="around"/>
              <w:rPr>
                <w:color w:val="000000"/>
              </w:rPr>
            </w:pPr>
            <w:r>
              <w:rPr>
                <w:color w:val="000000"/>
              </w:rPr>
              <w:fldChar w:fldCharType="begin">
                <w:ffData>
                  <w:name w:val="WCRQ"/>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9"/>
          </w:p>
        </w:tc>
      </w:tr>
    </w:tbl>
    <w:p w14:paraId="38CE8214" w14:textId="77777777" w:rsidR="00E92C40" w:rsidRDefault="00EF02E5">
      <w:pPr>
        <w:pStyle w:val="affffff5"/>
        <w:framePr w:w="2994" w:wrap="around" w:hAnchor="page" w:x="1471" w:y="14131"/>
        <w:jc w:val="both"/>
        <w:rPr>
          <w:color w:val="000000" w:themeColor="text1"/>
        </w:rPr>
      </w:pPr>
      <w:r>
        <w:rPr>
          <w:rFonts w:ascii="黑体" w:hint="eastAsia"/>
          <w:color w:val="000000" w:themeColor="text1"/>
        </w:rPr>
        <w:t>2021</w:t>
      </w:r>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FM"/>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noProof/>
          <w:color w:val="000000" w:themeColor="text1"/>
        </w:rPr>
        <w:t>XX</w:t>
      </w:r>
      <w:r>
        <w:rPr>
          <w:rFonts w:ascii="黑体"/>
          <w:color w:val="000000" w:themeColor="text1"/>
        </w:rPr>
        <w:fldChar w:fldCharType="end"/>
      </w:r>
      <w:r>
        <w:rPr>
          <w:color w:val="000000" w:themeColor="text1"/>
        </w:rPr>
        <w:t xml:space="preserve"> </w:t>
      </w:r>
      <w:r>
        <w:rPr>
          <w:rFonts w:ascii="黑体"/>
          <w:color w:val="000000" w:themeColor="text1"/>
        </w:rPr>
        <w:t>-</w:t>
      </w:r>
      <w:r>
        <w:rPr>
          <w:color w:val="000000" w:themeColor="text1"/>
        </w:rPr>
        <w:t xml:space="preserve"> </w:t>
      </w:r>
      <w:bookmarkStart w:id="10" w:name="FD"/>
      <w:r>
        <w:rPr>
          <w:rFonts w:ascii="黑体"/>
          <w:color w:val="000000" w:themeColor="text1"/>
        </w:rPr>
        <w:fldChar w:fldCharType="begin">
          <w:ffData>
            <w:name w:val="FD"/>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noProof/>
          <w:color w:val="000000" w:themeColor="text1"/>
        </w:rPr>
        <w:t>XX</w:t>
      </w:r>
      <w:r>
        <w:rPr>
          <w:rFonts w:ascii="黑体"/>
          <w:color w:val="000000" w:themeColor="text1"/>
        </w:rPr>
        <w:fldChar w:fldCharType="end"/>
      </w:r>
      <w:bookmarkEnd w:id="10"/>
      <w:r>
        <w:rPr>
          <w:rFonts w:hint="eastAsia"/>
          <w:color w:val="000000" w:themeColor="text1"/>
        </w:rPr>
        <w:t>发布</w:t>
      </w:r>
      <w:r>
        <w:rPr>
          <w:noProof/>
          <w:color w:val="000000" w:themeColor="text1"/>
        </w:rPr>
        <mc:AlternateContent>
          <mc:Choice Requires="wps">
            <w:drawing>
              <wp:anchor distT="4294967295" distB="4294967295" distL="114300" distR="114300" simplePos="0" relativeHeight="251655168" behindDoc="0" locked="1" layoutInCell="1" allowOverlap="1" wp14:anchorId="27146F13" wp14:editId="55F5E632">
                <wp:simplePos x="0" y="0"/>
                <wp:positionH relativeFrom="column">
                  <wp:posOffset>-33655</wp:posOffset>
                </wp:positionH>
                <wp:positionV relativeFrom="page">
                  <wp:posOffset>9251949</wp:posOffset>
                </wp:positionV>
                <wp:extent cx="6120130" cy="0"/>
                <wp:effectExtent l="0" t="0" r="1397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11C22" id="Line 10"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65pt,728.5pt" to="479.2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a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">
                <w10:wrap anchory="page"/>
                <w10:anchorlock/>
              </v:line>
            </w:pict>
          </mc:Fallback>
        </mc:AlternateContent>
      </w:r>
    </w:p>
    <w:p w14:paraId="65610E3B" w14:textId="77777777" w:rsidR="00E92C40" w:rsidRDefault="00EF02E5">
      <w:pPr>
        <w:pStyle w:val="affffff6"/>
        <w:framePr w:w="4884" w:wrap="around" w:hAnchor="page" w:x="6196" w:y="14101"/>
        <w:rPr>
          <w:color w:val="000000"/>
        </w:rPr>
      </w:pPr>
      <w:r>
        <w:rPr>
          <w:rFonts w:ascii="黑体" w:hint="eastAsia"/>
          <w:color w:val="000000" w:themeColor="text1"/>
        </w:rPr>
        <w:t>2021</w:t>
      </w:r>
      <w:r>
        <w:rPr>
          <w:rFonts w:ascii="黑体"/>
          <w:color w:val="000000" w:themeColor="text1"/>
        </w:rPr>
        <w:t>-</w:t>
      </w:r>
      <w:r>
        <w:rPr>
          <w:color w:val="000000" w:themeColor="text1"/>
        </w:rPr>
        <w:t xml:space="preserve"> </w:t>
      </w:r>
      <w:bookmarkStart w:id="11" w:name="SM"/>
      <w:r>
        <w:rPr>
          <w:rFonts w:ascii="黑体"/>
          <w:color w:val="000000" w:themeColor="text1"/>
        </w:rPr>
        <w:fldChar w:fldCharType="begin">
          <w:ffData>
            <w:name w:val="SM"/>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noProof/>
          <w:color w:val="000000" w:themeColor="text1"/>
        </w:rPr>
        <w:t>XX</w:t>
      </w:r>
      <w:r>
        <w:rPr>
          <w:rFonts w:ascii="黑体"/>
          <w:color w:val="000000" w:themeColor="text1"/>
        </w:rPr>
        <w:fldChar w:fldCharType="end"/>
      </w:r>
      <w:bookmarkEnd w:id="11"/>
      <w:r>
        <w:rPr>
          <w:color w:val="000000" w:themeColor="text1"/>
        </w:rPr>
        <w:t xml:space="preserve"> </w:t>
      </w:r>
      <w:r>
        <w:rPr>
          <w:rFonts w:ascii="黑体"/>
          <w:color w:val="000000" w:themeColor="text1"/>
        </w:rPr>
        <w:t>-</w:t>
      </w:r>
      <w:r>
        <w:rPr>
          <w:color w:val="000000" w:themeColor="text1"/>
        </w:rPr>
        <w:t xml:space="preserve"> </w:t>
      </w:r>
      <w:bookmarkStart w:id="12" w:name="SD"/>
      <w:r>
        <w:rPr>
          <w:rFonts w:ascii="黑体"/>
          <w:color w:val="000000" w:themeColor="text1"/>
        </w:rPr>
        <w:fldChar w:fldCharType="begin">
          <w:ffData>
            <w:name w:val="SD"/>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noProof/>
          <w:color w:val="000000" w:themeColor="text1"/>
        </w:rPr>
        <w:t>XX</w:t>
      </w:r>
      <w:r>
        <w:rPr>
          <w:rFonts w:ascii="黑体"/>
          <w:color w:val="000000" w:themeColor="text1"/>
        </w:rPr>
        <w:fldChar w:fldCharType="end"/>
      </w:r>
      <w:bookmarkEnd w:id="12"/>
      <w:r>
        <w:rPr>
          <w:rFonts w:hint="eastAsia"/>
          <w:color w:val="000000" w:themeColor="text1"/>
        </w:rPr>
        <w:t>实</w:t>
      </w:r>
      <w:r>
        <w:rPr>
          <w:rFonts w:hint="eastAsia"/>
          <w:color w:val="000000"/>
        </w:rPr>
        <w:t>施</w:t>
      </w:r>
    </w:p>
    <w:p w14:paraId="576BECE3" w14:textId="77197494" w:rsidR="00E92C40" w:rsidRDefault="00EF02E5">
      <w:pPr>
        <w:pStyle w:val="affffd"/>
        <w:framePr w:wrap="around"/>
        <w:rPr>
          <w:color w:val="000000"/>
        </w:rPr>
      </w:pPr>
      <w:r>
        <w:rPr>
          <w:rFonts w:hint="eastAsia"/>
          <w:color w:val="000000" w:themeColor="text1"/>
        </w:rPr>
        <w:t>北京市市场</w:t>
      </w:r>
      <w:r w:rsidR="00173192">
        <w:rPr>
          <w:rFonts w:hint="eastAsia"/>
          <w:color w:val="000000" w:themeColor="text1"/>
        </w:rPr>
        <w:t>监督管理</w:t>
      </w:r>
      <w:r>
        <w:rPr>
          <w:rFonts w:hint="eastAsia"/>
          <w:color w:val="000000" w:themeColor="text1"/>
        </w:rPr>
        <w:t>局</w:t>
      </w:r>
      <w:r>
        <w:rPr>
          <w:color w:val="000000" w:themeColor="text1"/>
        </w:rPr>
        <w:t> </w:t>
      </w:r>
      <w:r>
        <w:rPr>
          <w:color w:val="000000" w:themeColor="text1"/>
        </w:rPr>
        <w:t> </w:t>
      </w:r>
      <w:r>
        <w:rPr>
          <w:color w:val="000000"/>
        </w:rPr>
        <w:t> </w:t>
      </w:r>
      <w:r>
        <w:rPr>
          <w:rStyle w:val="afff5"/>
          <w:rFonts w:hint="eastAsia"/>
          <w:color w:val="000000"/>
        </w:rPr>
        <w:t>发布</w:t>
      </w:r>
    </w:p>
    <w:p w14:paraId="626B992E" w14:textId="3F9403C5" w:rsidR="00E92C40" w:rsidRDefault="00FE0280">
      <w:pPr>
        <w:pStyle w:val="aff3"/>
        <w:rPr>
          <w:color w:val="000000"/>
        </w:rPr>
        <w:sectPr w:rsidR="00E92C40">
          <w:headerReference w:type="even" r:id="rId9"/>
          <w:footerReference w:type="even" r:id="rId10"/>
          <w:pgSz w:w="11906" w:h="16838" w:code="9"/>
          <w:pgMar w:top="567" w:right="850" w:bottom="1134" w:left="1418" w:header="0" w:footer="0" w:gutter="0"/>
          <w:pgNumType w:fmt="upperRoman" w:start="1"/>
          <w:cols w:space="425"/>
          <w:docGrid w:type="lines" w:linePitch="312"/>
        </w:sectPr>
      </w:pPr>
      <w:r>
        <w:rPr>
          <w:color w:val="000000"/>
        </w:rPr>
        <mc:AlternateContent>
          <mc:Choice Requires="wps">
            <w:drawing>
              <wp:anchor distT="4294967295" distB="4294967295" distL="114300" distR="114300" simplePos="0" relativeHeight="251662336" behindDoc="0" locked="0" layoutInCell="1" allowOverlap="1" wp14:anchorId="3A02BF6C" wp14:editId="265903E2">
                <wp:simplePos x="0" y="0"/>
                <wp:positionH relativeFrom="column">
                  <wp:posOffset>23495</wp:posOffset>
                </wp:positionH>
                <wp:positionV relativeFrom="paragraph">
                  <wp:posOffset>8993505</wp:posOffset>
                </wp:positionV>
                <wp:extent cx="6120130" cy="0"/>
                <wp:effectExtent l="0" t="0" r="33020"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E6857" id="Line 1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708.15pt" to="483.75pt,7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HO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"/>
            </w:pict>
          </mc:Fallback>
        </mc:AlternateContent>
      </w:r>
      <w:r w:rsidR="00EF02E5">
        <w:rPr>
          <w:color w:val="000000"/>
        </w:rPr>
        <mc:AlternateContent>
          <mc:Choice Requires="wps">
            <w:drawing>
              <wp:anchor distT="4294967295" distB="4294967295" distL="114300" distR="114300" simplePos="0" relativeHeight="251656192" behindDoc="0" locked="0" layoutInCell="1" allowOverlap="1" wp14:anchorId="558CF224" wp14:editId="1B323116">
                <wp:simplePos x="0" y="0"/>
                <wp:positionH relativeFrom="column">
                  <wp:posOffset>-635</wp:posOffset>
                </wp:positionH>
                <wp:positionV relativeFrom="paragraph">
                  <wp:posOffset>2339974</wp:posOffset>
                </wp:positionV>
                <wp:extent cx="6120130" cy="0"/>
                <wp:effectExtent l="0" t="0" r="1397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7FBA1" id="Line 1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BA&#10;3P83EwIAACkEAAAOAAAAAAAAAAAAAAAAAC4CAABkcnMvZTJvRG9jLnhtbFBLAQItABQABgAIAAAA&#10;IQBj7kw33gAAAAkBAAAPAAAAAAAAAAAAAAAAAG0EAABkcnMvZG93bnJldi54bWxQSwUGAAAAAAQA&#10;BADzAAAAeAUAAAAA&#10;"/>
            </w:pict>
          </mc:Fallback>
        </mc:AlternateContent>
      </w:r>
    </w:p>
    <w:p w14:paraId="54E055F2" w14:textId="77777777" w:rsidR="00E92C40" w:rsidRDefault="00EF02E5">
      <w:pPr>
        <w:pStyle w:val="aff6"/>
        <w:rPr>
          <w:color w:val="000000"/>
        </w:rPr>
      </w:pPr>
      <w:bookmarkStart w:id="13" w:name="_Toc327888958"/>
      <w:bookmarkStart w:id="14" w:name="_Toc327889192"/>
      <w:bookmarkStart w:id="15" w:name="_Toc327889210"/>
      <w:bookmarkStart w:id="16" w:name="_Toc327889225"/>
      <w:bookmarkStart w:id="17" w:name="_Toc327891128"/>
      <w:bookmarkStart w:id="18" w:name="_Toc327948140"/>
      <w:bookmarkStart w:id="19" w:name="_Toc327952181"/>
      <w:bookmarkStart w:id="20" w:name="_Toc328064375"/>
      <w:bookmarkStart w:id="21" w:name="_Toc328064798"/>
      <w:bookmarkStart w:id="22" w:name="_Toc328660943"/>
      <w:bookmarkStart w:id="23" w:name="_Toc328731572"/>
      <w:bookmarkStart w:id="24" w:name="_Toc328749162"/>
      <w:bookmarkStart w:id="25" w:name="_Toc81233530"/>
      <w:r>
        <w:rPr>
          <w:rFonts w:hint="eastAsia"/>
          <w:color w:val="000000"/>
        </w:rPr>
        <w:lastRenderedPageBreak/>
        <w:t>目</w:t>
      </w:r>
      <w:bookmarkStart w:id="26" w:name="BKML"/>
      <w:r>
        <w:rPr>
          <w:color w:val="000000"/>
        </w:rPr>
        <w:t> </w:t>
      </w:r>
      <w:r>
        <w:rPr>
          <w:color w:val="000000"/>
        </w:rPr>
        <w:t> </w:t>
      </w:r>
      <w:r>
        <w:rPr>
          <w:rFonts w:hint="eastAsia"/>
          <w:color w:val="000000"/>
        </w:rPr>
        <w:t>次</w:t>
      </w:r>
      <w:bookmarkEnd w:id="25"/>
      <w:bookmarkEnd w:id="26"/>
    </w:p>
    <w:p w14:paraId="7D2D81EE" w14:textId="52CA1A6D" w:rsidR="00655319" w:rsidRDefault="00655319" w:rsidP="00655319">
      <w:pPr>
        <w:pStyle w:val="12"/>
        <w:rPr>
          <w:rFonts w:asciiTheme="minorHAnsi" w:eastAsiaTheme="minorEastAsia" w:hAnsiTheme="minorHAnsi" w:cstheme="minorBidi"/>
          <w:noProof/>
          <w:szCs w:val="22"/>
        </w:rPr>
      </w:pPr>
      <w:r>
        <w:fldChar w:fldCharType="begin"/>
      </w:r>
      <w:r>
        <w:instrText xml:space="preserve"> TOC \o "1-3" \h \z \u </w:instrText>
      </w:r>
      <w:r>
        <w:fldChar w:fldCharType="separate"/>
      </w:r>
    </w:p>
    <w:p w14:paraId="55DE8351" w14:textId="738B7499" w:rsidR="00655319" w:rsidRPr="00655319" w:rsidRDefault="00655319" w:rsidP="00655319">
      <w:pPr>
        <w:pStyle w:val="12"/>
        <w:rPr>
          <w:rFonts w:asciiTheme="minorHAnsi" w:eastAsiaTheme="minorEastAsia" w:hAnsiTheme="minorHAnsi" w:cstheme="minorBidi"/>
          <w:noProof/>
          <w:szCs w:val="22"/>
        </w:rPr>
      </w:pPr>
      <w:hyperlink w:anchor="_Toc81233531" w:history="1">
        <w:r w:rsidRPr="00655319">
          <w:rPr>
            <w:rStyle w:val="afff4"/>
            <w:color w:val="auto"/>
          </w:rPr>
          <w:t>前言</w:t>
        </w:r>
        <w:r w:rsidRPr="00655319">
          <w:rPr>
            <w:noProof/>
            <w:webHidden/>
          </w:rPr>
          <w:tab/>
        </w:r>
        <w:r w:rsidRPr="00655319">
          <w:rPr>
            <w:noProof/>
            <w:webHidden/>
          </w:rPr>
          <w:fldChar w:fldCharType="begin"/>
        </w:r>
        <w:r w:rsidRPr="00655319">
          <w:rPr>
            <w:noProof/>
            <w:webHidden/>
          </w:rPr>
          <w:instrText xml:space="preserve"> PAGEREF _Toc81233531 \h </w:instrText>
        </w:r>
        <w:r w:rsidRPr="00655319">
          <w:rPr>
            <w:noProof/>
            <w:webHidden/>
          </w:rPr>
        </w:r>
        <w:r w:rsidRPr="00655319">
          <w:rPr>
            <w:noProof/>
            <w:webHidden/>
          </w:rPr>
          <w:fldChar w:fldCharType="separate"/>
        </w:r>
        <w:r w:rsidR="00FB0575">
          <w:rPr>
            <w:noProof/>
            <w:webHidden/>
          </w:rPr>
          <w:t>II</w:t>
        </w:r>
        <w:r w:rsidRPr="00655319">
          <w:rPr>
            <w:noProof/>
            <w:webHidden/>
          </w:rPr>
          <w:fldChar w:fldCharType="end"/>
        </w:r>
      </w:hyperlink>
    </w:p>
    <w:p w14:paraId="199A7591" w14:textId="6E50D86E" w:rsidR="00655319" w:rsidRDefault="00655319">
      <w:pPr>
        <w:pStyle w:val="27"/>
        <w:rPr>
          <w:rFonts w:asciiTheme="minorHAnsi" w:eastAsiaTheme="minorEastAsia" w:hAnsiTheme="minorHAnsi" w:cstheme="minorBidi"/>
          <w:noProof/>
          <w:szCs w:val="22"/>
        </w:rPr>
      </w:pPr>
      <w:hyperlink w:anchor="_Toc81233533" w:history="1">
        <w:r w:rsidRPr="0016550F">
          <w:rPr>
            <w:rStyle w:val="afff4"/>
          </w:rPr>
          <w:t>1 范围</w:t>
        </w:r>
        <w:r>
          <w:rPr>
            <w:noProof/>
            <w:webHidden/>
          </w:rPr>
          <w:tab/>
        </w:r>
        <w:r>
          <w:rPr>
            <w:noProof/>
            <w:webHidden/>
          </w:rPr>
          <w:fldChar w:fldCharType="begin"/>
        </w:r>
        <w:r>
          <w:rPr>
            <w:noProof/>
            <w:webHidden/>
          </w:rPr>
          <w:instrText xml:space="preserve"> PAGEREF _Toc81233533 \h </w:instrText>
        </w:r>
        <w:r>
          <w:rPr>
            <w:noProof/>
            <w:webHidden/>
          </w:rPr>
        </w:r>
        <w:r>
          <w:rPr>
            <w:noProof/>
            <w:webHidden/>
          </w:rPr>
          <w:fldChar w:fldCharType="separate"/>
        </w:r>
        <w:r w:rsidR="00FB0575">
          <w:rPr>
            <w:noProof/>
            <w:webHidden/>
          </w:rPr>
          <w:t>1</w:t>
        </w:r>
        <w:r>
          <w:rPr>
            <w:noProof/>
            <w:webHidden/>
          </w:rPr>
          <w:fldChar w:fldCharType="end"/>
        </w:r>
      </w:hyperlink>
    </w:p>
    <w:p w14:paraId="559CF00D" w14:textId="484B5637" w:rsidR="00655319" w:rsidRDefault="00655319">
      <w:pPr>
        <w:pStyle w:val="27"/>
        <w:rPr>
          <w:rFonts w:asciiTheme="minorHAnsi" w:eastAsiaTheme="minorEastAsia" w:hAnsiTheme="minorHAnsi" w:cstheme="minorBidi"/>
          <w:noProof/>
          <w:szCs w:val="22"/>
        </w:rPr>
      </w:pPr>
      <w:hyperlink w:anchor="_Toc81233534" w:history="1">
        <w:r w:rsidRPr="0016550F">
          <w:rPr>
            <w:rStyle w:val="afff4"/>
          </w:rPr>
          <w:t>2 规范性引用文件</w:t>
        </w:r>
        <w:r>
          <w:rPr>
            <w:noProof/>
            <w:webHidden/>
          </w:rPr>
          <w:tab/>
        </w:r>
        <w:r>
          <w:rPr>
            <w:noProof/>
            <w:webHidden/>
          </w:rPr>
          <w:fldChar w:fldCharType="begin"/>
        </w:r>
        <w:r>
          <w:rPr>
            <w:noProof/>
            <w:webHidden/>
          </w:rPr>
          <w:instrText xml:space="preserve"> PAGEREF _Toc81233534 \h </w:instrText>
        </w:r>
        <w:r>
          <w:rPr>
            <w:noProof/>
            <w:webHidden/>
          </w:rPr>
        </w:r>
        <w:r>
          <w:rPr>
            <w:noProof/>
            <w:webHidden/>
          </w:rPr>
          <w:fldChar w:fldCharType="separate"/>
        </w:r>
        <w:r w:rsidR="00FB0575">
          <w:rPr>
            <w:noProof/>
            <w:webHidden/>
          </w:rPr>
          <w:t>1</w:t>
        </w:r>
        <w:r>
          <w:rPr>
            <w:noProof/>
            <w:webHidden/>
          </w:rPr>
          <w:fldChar w:fldCharType="end"/>
        </w:r>
      </w:hyperlink>
    </w:p>
    <w:p w14:paraId="00B1FB4B" w14:textId="1DAAD90F" w:rsidR="00655319" w:rsidRDefault="00655319">
      <w:pPr>
        <w:pStyle w:val="27"/>
        <w:rPr>
          <w:rFonts w:asciiTheme="minorHAnsi" w:eastAsiaTheme="minorEastAsia" w:hAnsiTheme="minorHAnsi" w:cstheme="minorBidi"/>
          <w:noProof/>
          <w:szCs w:val="22"/>
        </w:rPr>
      </w:pPr>
      <w:hyperlink w:anchor="_Toc81233535" w:history="1">
        <w:r w:rsidRPr="0016550F">
          <w:rPr>
            <w:rStyle w:val="afff4"/>
          </w:rPr>
          <w:t>3 术语和定义</w:t>
        </w:r>
        <w:r>
          <w:rPr>
            <w:noProof/>
            <w:webHidden/>
          </w:rPr>
          <w:tab/>
        </w:r>
        <w:r>
          <w:rPr>
            <w:noProof/>
            <w:webHidden/>
          </w:rPr>
          <w:fldChar w:fldCharType="begin"/>
        </w:r>
        <w:r>
          <w:rPr>
            <w:noProof/>
            <w:webHidden/>
          </w:rPr>
          <w:instrText xml:space="preserve"> PAGEREF _Toc81233535 \h </w:instrText>
        </w:r>
        <w:r>
          <w:rPr>
            <w:noProof/>
            <w:webHidden/>
          </w:rPr>
        </w:r>
        <w:r>
          <w:rPr>
            <w:noProof/>
            <w:webHidden/>
          </w:rPr>
          <w:fldChar w:fldCharType="separate"/>
        </w:r>
        <w:r w:rsidR="00FB0575">
          <w:rPr>
            <w:noProof/>
            <w:webHidden/>
          </w:rPr>
          <w:t>1</w:t>
        </w:r>
        <w:r>
          <w:rPr>
            <w:noProof/>
            <w:webHidden/>
          </w:rPr>
          <w:fldChar w:fldCharType="end"/>
        </w:r>
      </w:hyperlink>
    </w:p>
    <w:p w14:paraId="02B495D5" w14:textId="7FE5D299" w:rsidR="00655319" w:rsidRDefault="00655319">
      <w:pPr>
        <w:pStyle w:val="27"/>
        <w:rPr>
          <w:rFonts w:asciiTheme="minorHAnsi" w:eastAsiaTheme="minorEastAsia" w:hAnsiTheme="minorHAnsi" w:cstheme="minorBidi"/>
          <w:noProof/>
          <w:szCs w:val="22"/>
        </w:rPr>
      </w:pPr>
      <w:hyperlink w:anchor="_Toc81233552" w:history="1">
        <w:r w:rsidRPr="0016550F">
          <w:rPr>
            <w:rStyle w:val="afff4"/>
          </w:rPr>
          <w:t>4 一般要求</w:t>
        </w:r>
        <w:r>
          <w:rPr>
            <w:noProof/>
            <w:webHidden/>
          </w:rPr>
          <w:tab/>
        </w:r>
        <w:r>
          <w:rPr>
            <w:noProof/>
            <w:webHidden/>
          </w:rPr>
          <w:fldChar w:fldCharType="begin"/>
        </w:r>
        <w:r>
          <w:rPr>
            <w:noProof/>
            <w:webHidden/>
          </w:rPr>
          <w:instrText xml:space="preserve"> PAGEREF _Toc81233552 \h </w:instrText>
        </w:r>
        <w:r>
          <w:rPr>
            <w:noProof/>
            <w:webHidden/>
          </w:rPr>
        </w:r>
        <w:r>
          <w:rPr>
            <w:noProof/>
            <w:webHidden/>
          </w:rPr>
          <w:fldChar w:fldCharType="separate"/>
        </w:r>
        <w:r w:rsidR="00FB0575">
          <w:rPr>
            <w:noProof/>
            <w:webHidden/>
          </w:rPr>
          <w:t>2</w:t>
        </w:r>
        <w:r>
          <w:rPr>
            <w:noProof/>
            <w:webHidden/>
          </w:rPr>
          <w:fldChar w:fldCharType="end"/>
        </w:r>
      </w:hyperlink>
    </w:p>
    <w:p w14:paraId="2D7D09BE" w14:textId="0FCE23C5" w:rsidR="00655319" w:rsidRDefault="00655319">
      <w:pPr>
        <w:pStyle w:val="27"/>
        <w:rPr>
          <w:rFonts w:asciiTheme="minorHAnsi" w:eastAsiaTheme="minorEastAsia" w:hAnsiTheme="minorHAnsi" w:cstheme="minorBidi"/>
          <w:noProof/>
          <w:szCs w:val="22"/>
        </w:rPr>
      </w:pPr>
      <w:hyperlink w:anchor="_Toc81233559" w:history="1">
        <w:r w:rsidRPr="0016550F">
          <w:rPr>
            <w:rStyle w:val="afff4"/>
          </w:rPr>
          <w:t>5 液氨场所安全要求</w:t>
        </w:r>
        <w:r>
          <w:rPr>
            <w:noProof/>
            <w:webHidden/>
          </w:rPr>
          <w:tab/>
        </w:r>
        <w:r>
          <w:rPr>
            <w:noProof/>
            <w:webHidden/>
          </w:rPr>
          <w:fldChar w:fldCharType="begin"/>
        </w:r>
        <w:r>
          <w:rPr>
            <w:noProof/>
            <w:webHidden/>
          </w:rPr>
          <w:instrText xml:space="preserve"> PAGEREF _Toc81233559 \h </w:instrText>
        </w:r>
        <w:r>
          <w:rPr>
            <w:noProof/>
            <w:webHidden/>
          </w:rPr>
        </w:r>
        <w:r>
          <w:rPr>
            <w:noProof/>
            <w:webHidden/>
          </w:rPr>
          <w:fldChar w:fldCharType="separate"/>
        </w:r>
        <w:r w:rsidR="00FB0575">
          <w:rPr>
            <w:noProof/>
            <w:webHidden/>
          </w:rPr>
          <w:t>5</w:t>
        </w:r>
        <w:r>
          <w:rPr>
            <w:noProof/>
            <w:webHidden/>
          </w:rPr>
          <w:fldChar w:fldCharType="end"/>
        </w:r>
      </w:hyperlink>
    </w:p>
    <w:p w14:paraId="479AE841" w14:textId="791F17AB" w:rsidR="00E92C40" w:rsidRPr="00655319" w:rsidRDefault="00655319">
      <w:pPr>
        <w:pStyle w:val="aff3"/>
        <w:rPr>
          <w:color w:val="000000"/>
        </w:rPr>
      </w:pPr>
      <w:r>
        <w:rPr>
          <w:noProof w:val="0"/>
          <w:color w:val="FF0000"/>
          <w:kern w:val="2"/>
          <w:szCs w:val="21"/>
        </w:rPr>
        <w:fldChar w:fldCharType="end"/>
      </w:r>
    </w:p>
    <w:p w14:paraId="1CCCD56A" w14:textId="5D414DE7" w:rsidR="00E92C40" w:rsidRDefault="00B152F3" w:rsidP="00B152F3">
      <w:pPr>
        <w:pStyle w:val="affffe"/>
        <w:tabs>
          <w:tab w:val="center" w:pos="4677"/>
          <w:tab w:val="left" w:pos="8115"/>
        </w:tabs>
        <w:jc w:val="left"/>
        <w:rPr>
          <w:color w:val="000000"/>
        </w:rPr>
      </w:pPr>
      <w:bookmarkStart w:id="27" w:name="_Toc328751619"/>
      <w:bookmarkStart w:id="28" w:name="_Toc81233531"/>
      <w:r>
        <w:rPr>
          <w:color w:val="000000"/>
        </w:rPr>
        <w:lastRenderedPageBreak/>
        <w:tab/>
      </w:r>
      <w:r w:rsidR="00EF02E5">
        <w:rPr>
          <w:rFonts w:hint="eastAsia"/>
          <w:color w:val="000000"/>
        </w:rPr>
        <w:t>前</w:t>
      </w:r>
      <w:bookmarkStart w:id="29" w:name="BKQY"/>
      <w:r w:rsidR="00EF02E5">
        <w:rPr>
          <w:color w:val="000000"/>
        </w:rPr>
        <w:t> </w:t>
      </w:r>
      <w:r w:rsidR="00EF02E5">
        <w:rPr>
          <w:color w:val="000000"/>
        </w:rPr>
        <w:t> </w:t>
      </w:r>
      <w:r w:rsidR="00EF02E5">
        <w:rPr>
          <w:rFonts w:hint="eastAsia"/>
          <w:color w:val="000000"/>
        </w:rPr>
        <w:t>言</w:t>
      </w:r>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r>
        <w:rPr>
          <w:color w:val="000000"/>
        </w:rPr>
        <w:tab/>
      </w:r>
    </w:p>
    <w:p w14:paraId="79240824" w14:textId="77777777" w:rsidR="00E92C40" w:rsidRDefault="00EF02E5">
      <w:pPr>
        <w:pStyle w:val="aff3"/>
        <w:spacing w:line="360" w:lineRule="exact"/>
        <w:rPr>
          <w:color w:val="000000" w:themeColor="text1"/>
        </w:rPr>
      </w:pPr>
      <w:r>
        <w:rPr>
          <w:rFonts w:hint="eastAsia"/>
          <w:color w:val="000000" w:themeColor="text1"/>
        </w:rPr>
        <w:t>本文件按照GB/T 1.1—2020《标准化工作导则 第1部分：标准文件的结构和起草规则》的规定起草。</w:t>
      </w:r>
    </w:p>
    <w:p w14:paraId="7659359A" w14:textId="77777777" w:rsidR="00E92C40" w:rsidRDefault="00EF02E5">
      <w:pPr>
        <w:pStyle w:val="aff3"/>
        <w:spacing w:line="360" w:lineRule="exact"/>
        <w:rPr>
          <w:color w:val="000000" w:themeColor="text1"/>
        </w:rPr>
      </w:pPr>
      <w:r>
        <w:rPr>
          <w:rFonts w:hint="eastAsia"/>
          <w:color w:val="000000" w:themeColor="text1"/>
        </w:rPr>
        <w:t>本文件代替DB11/T 1014—2013《液氨使用与储存安全技术规范》。与DB11/T 1014—2013《液氨使用与储存安全技术规范》相比，除结构性调整和编辑性修改外，主要技术变化如下：</w:t>
      </w:r>
    </w:p>
    <w:p w14:paraId="576A3DC5" w14:textId="103413D3" w:rsidR="00E92C40" w:rsidRDefault="00EF02E5">
      <w:pPr>
        <w:pStyle w:val="aff3"/>
        <w:spacing w:line="360" w:lineRule="exact"/>
        <w:rPr>
          <w:color w:val="000000" w:themeColor="text1"/>
        </w:rPr>
      </w:pPr>
      <w:r>
        <w:rPr>
          <w:rFonts w:hint="eastAsia"/>
          <w:color w:val="000000" w:themeColor="text1"/>
        </w:rPr>
        <w:t>——增加了重大危险源企业确定外部安全防护距离要求（见4.1.4）</w:t>
      </w:r>
      <w:r w:rsidR="00DA2875">
        <w:rPr>
          <w:rFonts w:hint="eastAsia"/>
          <w:color w:val="000000" w:themeColor="text1"/>
        </w:rPr>
        <w:t>；</w:t>
      </w:r>
    </w:p>
    <w:p w14:paraId="21D08CE7" w14:textId="678C09C9" w:rsidR="00E92C40" w:rsidRDefault="00EF02E5">
      <w:pPr>
        <w:pStyle w:val="aff3"/>
        <w:spacing w:line="360" w:lineRule="exact"/>
        <w:rPr>
          <w:color w:val="000000" w:themeColor="text1"/>
        </w:rPr>
      </w:pPr>
      <w:r>
        <w:rPr>
          <w:rFonts w:hint="eastAsia"/>
          <w:color w:val="000000" w:themeColor="text1"/>
        </w:rPr>
        <w:t>——修改了企业主要负责人和安全管理人员的要求（见4.2.1）</w:t>
      </w:r>
      <w:r w:rsidR="00DA2875">
        <w:rPr>
          <w:rFonts w:hint="eastAsia"/>
          <w:color w:val="000000" w:themeColor="text1"/>
        </w:rPr>
        <w:t>；</w:t>
      </w:r>
    </w:p>
    <w:p w14:paraId="58BA47B1" w14:textId="02605637" w:rsidR="00E92C40" w:rsidRDefault="00EF02E5">
      <w:pPr>
        <w:pStyle w:val="aff3"/>
        <w:spacing w:line="360" w:lineRule="exact"/>
        <w:rPr>
          <w:color w:val="000000" w:themeColor="text1"/>
        </w:rPr>
      </w:pPr>
      <w:r>
        <w:rPr>
          <w:rFonts w:hint="eastAsia"/>
          <w:color w:val="000000" w:themeColor="text1"/>
        </w:rPr>
        <w:t>——修改了企业应急预案的编制依据（见4.3.4）</w:t>
      </w:r>
      <w:r w:rsidR="00DA2875">
        <w:rPr>
          <w:rFonts w:hint="eastAsia"/>
          <w:color w:val="000000" w:themeColor="text1"/>
        </w:rPr>
        <w:t>；</w:t>
      </w:r>
    </w:p>
    <w:p w14:paraId="7D5D3FF7" w14:textId="44D82890" w:rsidR="00E92C40" w:rsidRDefault="00EF02E5">
      <w:pPr>
        <w:pStyle w:val="aff3"/>
        <w:spacing w:line="360" w:lineRule="exact"/>
        <w:rPr>
          <w:color w:val="000000" w:themeColor="text1"/>
        </w:rPr>
      </w:pPr>
      <w:r>
        <w:rPr>
          <w:rFonts w:hint="eastAsia"/>
          <w:color w:val="000000" w:themeColor="text1"/>
        </w:rPr>
        <w:t>——增加了企业推进安全生产标准化的要求（见4.3.6）</w:t>
      </w:r>
      <w:r w:rsidR="00DA2875">
        <w:rPr>
          <w:rFonts w:hint="eastAsia"/>
          <w:color w:val="000000" w:themeColor="text1"/>
        </w:rPr>
        <w:t>；</w:t>
      </w:r>
    </w:p>
    <w:p w14:paraId="7D6BF1CB" w14:textId="3398F914" w:rsidR="00E92C40" w:rsidRDefault="00EF02E5">
      <w:pPr>
        <w:pStyle w:val="aff3"/>
        <w:spacing w:line="360" w:lineRule="exact"/>
        <w:rPr>
          <w:color w:val="000000" w:themeColor="text1"/>
        </w:rPr>
      </w:pPr>
      <w:r>
        <w:rPr>
          <w:rFonts w:hint="eastAsia"/>
          <w:color w:val="000000" w:themeColor="text1"/>
        </w:rPr>
        <w:t>——明确了氨气体浓度报警仪的类型（见4.4.1.11）</w:t>
      </w:r>
      <w:r w:rsidR="00DA2875">
        <w:rPr>
          <w:rFonts w:hint="eastAsia"/>
          <w:color w:val="000000" w:themeColor="text1"/>
        </w:rPr>
        <w:t>；</w:t>
      </w:r>
    </w:p>
    <w:p w14:paraId="3127FDBF" w14:textId="0E9839CD" w:rsidR="00E92C40" w:rsidRDefault="00EF02E5">
      <w:pPr>
        <w:pStyle w:val="aff3"/>
        <w:spacing w:line="360" w:lineRule="exact"/>
        <w:rPr>
          <w:color w:val="000000" w:themeColor="text1"/>
        </w:rPr>
      </w:pPr>
      <w:r>
        <w:rPr>
          <w:rFonts w:hint="eastAsia"/>
          <w:color w:val="000000" w:themeColor="text1"/>
        </w:rPr>
        <w:t>——增加了对压力表和液位计的具体要求（见4.4.1.13）</w:t>
      </w:r>
      <w:r w:rsidR="00DA2875">
        <w:rPr>
          <w:rFonts w:hint="eastAsia"/>
          <w:color w:val="000000" w:themeColor="text1"/>
        </w:rPr>
        <w:t>；</w:t>
      </w:r>
    </w:p>
    <w:p w14:paraId="663E4BBF" w14:textId="00EE3688" w:rsidR="00E92C40" w:rsidRDefault="00EF02E5">
      <w:pPr>
        <w:pStyle w:val="aff3"/>
        <w:spacing w:line="360" w:lineRule="exact"/>
        <w:rPr>
          <w:color w:val="000000" w:themeColor="text1"/>
        </w:rPr>
      </w:pPr>
      <w:r>
        <w:rPr>
          <w:rFonts w:hint="eastAsia"/>
          <w:color w:val="000000" w:themeColor="text1"/>
        </w:rPr>
        <w:t>——修改了液氨装卸用管的具体要求（见5.2.2，2013版的5.2.4）</w:t>
      </w:r>
      <w:r w:rsidR="00DA2875">
        <w:rPr>
          <w:rFonts w:hint="eastAsia"/>
          <w:color w:val="000000" w:themeColor="text1"/>
        </w:rPr>
        <w:t>；</w:t>
      </w:r>
    </w:p>
    <w:p w14:paraId="7EECC389" w14:textId="4DAEB6B4" w:rsidR="00E92C40" w:rsidRDefault="00EF02E5">
      <w:pPr>
        <w:pStyle w:val="aff3"/>
        <w:spacing w:line="360" w:lineRule="exact"/>
        <w:rPr>
          <w:color w:val="000000" w:themeColor="text1"/>
        </w:rPr>
      </w:pPr>
      <w:r>
        <w:rPr>
          <w:rFonts w:hint="eastAsia"/>
          <w:color w:val="000000" w:themeColor="text1"/>
        </w:rPr>
        <w:t>——增加了钢瓶储存的要求（见5.3.1）</w:t>
      </w:r>
      <w:r w:rsidR="00DA2875">
        <w:rPr>
          <w:rFonts w:hint="eastAsia"/>
          <w:color w:val="000000" w:themeColor="text1"/>
        </w:rPr>
        <w:t>；</w:t>
      </w:r>
      <w:bookmarkStart w:id="30" w:name="_GoBack"/>
      <w:bookmarkEnd w:id="30"/>
    </w:p>
    <w:p w14:paraId="5C166736" w14:textId="42A3F32E" w:rsidR="00E92C40" w:rsidRDefault="00EF02E5">
      <w:pPr>
        <w:pStyle w:val="aff3"/>
        <w:spacing w:line="360" w:lineRule="exact"/>
        <w:rPr>
          <w:color w:val="000000" w:themeColor="text1"/>
        </w:rPr>
      </w:pPr>
      <w:r>
        <w:rPr>
          <w:rFonts w:hint="eastAsia"/>
          <w:color w:val="000000" w:themeColor="text1"/>
        </w:rPr>
        <w:t>——修改了切断阀的具体要求（见5.4.5）</w:t>
      </w:r>
      <w:r w:rsidR="00DA2875">
        <w:rPr>
          <w:rFonts w:hint="eastAsia"/>
          <w:color w:val="000000" w:themeColor="text1"/>
        </w:rPr>
        <w:t>。</w:t>
      </w:r>
    </w:p>
    <w:p w14:paraId="628279FA" w14:textId="77777777" w:rsidR="00E92C40" w:rsidRDefault="00EF02E5">
      <w:pPr>
        <w:pStyle w:val="aff3"/>
        <w:spacing w:line="360" w:lineRule="exact"/>
        <w:rPr>
          <w:color w:val="000000" w:themeColor="text1"/>
        </w:rPr>
      </w:pPr>
      <w:r>
        <w:rPr>
          <w:rFonts w:hint="eastAsia"/>
          <w:color w:val="000000" w:themeColor="text1"/>
        </w:rPr>
        <w:t>本文件由北京市应急管理局提出并归口。</w:t>
      </w:r>
    </w:p>
    <w:p w14:paraId="428E5339" w14:textId="77777777" w:rsidR="00E92C40" w:rsidRDefault="00EF02E5">
      <w:pPr>
        <w:pStyle w:val="aff3"/>
        <w:spacing w:line="360" w:lineRule="exact"/>
        <w:rPr>
          <w:color w:val="000000" w:themeColor="text1"/>
        </w:rPr>
      </w:pPr>
      <w:r>
        <w:rPr>
          <w:rFonts w:hint="eastAsia"/>
          <w:color w:val="000000" w:themeColor="text1"/>
        </w:rPr>
        <w:t>本文件由北京市应急管理局组织实施。</w:t>
      </w:r>
    </w:p>
    <w:p w14:paraId="691B7EA8" w14:textId="77777777" w:rsidR="00E92C40" w:rsidRDefault="00EF02E5">
      <w:pPr>
        <w:pStyle w:val="aff3"/>
        <w:spacing w:line="360" w:lineRule="exact"/>
        <w:rPr>
          <w:color w:val="000000" w:themeColor="text1"/>
        </w:rPr>
      </w:pPr>
      <w:r>
        <w:rPr>
          <w:rFonts w:hint="eastAsia"/>
          <w:color w:val="000000" w:themeColor="text1"/>
        </w:rPr>
        <w:t>本文件起草单位：北京市科学技术研究院城市安全与环境科学研究所。</w:t>
      </w:r>
    </w:p>
    <w:p w14:paraId="5ED6E1C6" w14:textId="26B4FE35" w:rsidR="00E92C40" w:rsidRDefault="00EF02E5">
      <w:pPr>
        <w:pStyle w:val="aff3"/>
        <w:spacing w:line="360" w:lineRule="exact"/>
        <w:rPr>
          <w:color w:val="000000" w:themeColor="text1"/>
        </w:rPr>
      </w:pPr>
      <w:r>
        <w:rPr>
          <w:rFonts w:hint="eastAsia"/>
          <w:color w:val="000000" w:themeColor="text1"/>
        </w:rPr>
        <w:t>本文件主要起草人：</w:t>
      </w:r>
      <w:r w:rsidR="00DA2875" w:rsidDel="00DA2875">
        <w:rPr>
          <w:rFonts w:hint="eastAsia"/>
          <w:color w:val="000000" w:themeColor="text1"/>
        </w:rPr>
        <w:t xml:space="preserve"> </w:t>
      </w:r>
      <w:r w:rsidR="00EA0A0C">
        <w:rPr>
          <w:rFonts w:hint="eastAsia"/>
          <w:color w:val="000000" w:themeColor="text1"/>
        </w:rPr>
        <w:t>。</w:t>
      </w:r>
    </w:p>
    <w:p w14:paraId="74A05499" w14:textId="77777777" w:rsidR="00E92C40" w:rsidRDefault="00EF02E5">
      <w:pPr>
        <w:pStyle w:val="aff3"/>
        <w:spacing w:line="360" w:lineRule="exact"/>
        <w:rPr>
          <w:color w:val="000000" w:themeColor="text1"/>
        </w:rPr>
      </w:pPr>
      <w:r>
        <w:rPr>
          <w:rFonts w:hint="eastAsia"/>
          <w:color w:val="000000" w:themeColor="text1"/>
        </w:rPr>
        <w:t>本文件及其所代替文件的历次版本发布情况为:</w:t>
      </w:r>
    </w:p>
    <w:p w14:paraId="45DA7275" w14:textId="6A19EE0E" w:rsidR="00E92C40" w:rsidRDefault="00EF02E5">
      <w:pPr>
        <w:pStyle w:val="aff3"/>
        <w:spacing w:line="360" w:lineRule="exact"/>
        <w:rPr>
          <w:color w:val="000000" w:themeColor="text1"/>
        </w:rPr>
      </w:pPr>
      <w:r>
        <w:rPr>
          <w:rFonts w:hint="eastAsia"/>
          <w:color w:val="000000" w:themeColor="text1"/>
        </w:rPr>
        <w:t>——DB11/</w:t>
      </w:r>
      <w:r w:rsidR="00796AEB">
        <w:rPr>
          <w:color w:val="000000" w:themeColor="text1"/>
        </w:rPr>
        <w:t xml:space="preserve">T </w:t>
      </w:r>
      <w:r>
        <w:rPr>
          <w:rFonts w:hint="eastAsia"/>
          <w:color w:val="000000" w:themeColor="text1"/>
        </w:rPr>
        <w:t>1014</w:t>
      </w:r>
      <w:r w:rsidR="00DA2875">
        <w:rPr>
          <w:rFonts w:hint="eastAsia"/>
          <w:color w:val="000000" w:themeColor="text1"/>
        </w:rPr>
        <w:t>—</w:t>
      </w:r>
      <w:r>
        <w:rPr>
          <w:rFonts w:hint="eastAsia"/>
          <w:color w:val="000000" w:themeColor="text1"/>
        </w:rPr>
        <w:t>2013</w:t>
      </w:r>
      <w:r w:rsidR="00DA2875">
        <w:rPr>
          <w:rFonts w:hint="eastAsia"/>
          <w:color w:val="000000" w:themeColor="text1"/>
        </w:rPr>
        <w:t>。</w:t>
      </w:r>
    </w:p>
    <w:p w14:paraId="6865DC86" w14:textId="77777777" w:rsidR="00E92C40" w:rsidRDefault="00EF02E5">
      <w:pPr>
        <w:pStyle w:val="aff3"/>
        <w:spacing w:line="360" w:lineRule="exact"/>
        <w:rPr>
          <w:color w:val="000000" w:themeColor="text1"/>
        </w:rPr>
      </w:pPr>
      <w:r>
        <w:rPr>
          <w:rFonts w:hint="eastAsia"/>
          <w:color w:val="000000" w:themeColor="text1"/>
        </w:rPr>
        <w:t>本次为第一次修订。</w:t>
      </w:r>
    </w:p>
    <w:p w14:paraId="26CA01B5" w14:textId="77777777" w:rsidR="00E92C40" w:rsidRDefault="00E92C40">
      <w:pPr>
        <w:pStyle w:val="aff3"/>
        <w:spacing w:line="360" w:lineRule="exact"/>
        <w:rPr>
          <w:color w:val="000000"/>
        </w:rPr>
        <w:sectPr w:rsidR="00E92C40">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p w14:paraId="2EB04E5A" w14:textId="77777777" w:rsidR="00E92C40" w:rsidRDefault="00EF02E5">
      <w:pPr>
        <w:pStyle w:val="aff6"/>
        <w:rPr>
          <w:color w:val="000000"/>
        </w:rPr>
      </w:pPr>
      <w:bookmarkStart w:id="31" w:name="_Toc81233532"/>
      <w:r>
        <w:rPr>
          <w:rFonts w:hint="eastAsia"/>
          <w:color w:val="000000"/>
        </w:rPr>
        <w:lastRenderedPageBreak/>
        <w:t>液氨使用与储存安全技术规范</w:t>
      </w:r>
      <w:bookmarkEnd w:id="31"/>
    </w:p>
    <w:p w14:paraId="3CBAA51E" w14:textId="77777777" w:rsidR="00E92C40" w:rsidRDefault="00EF02E5">
      <w:pPr>
        <w:pStyle w:val="a3"/>
        <w:rPr>
          <w:color w:val="000000"/>
        </w:rPr>
      </w:pPr>
      <w:bookmarkStart w:id="32" w:name="_Toc327888960"/>
      <w:bookmarkStart w:id="33" w:name="_Toc327889194"/>
      <w:bookmarkStart w:id="34" w:name="_Toc327889212"/>
      <w:bookmarkStart w:id="35" w:name="_Toc327889227"/>
      <w:bookmarkStart w:id="36" w:name="_Toc327891129"/>
      <w:bookmarkStart w:id="37" w:name="_Toc327948141"/>
      <w:bookmarkStart w:id="38" w:name="_Toc327952182"/>
      <w:bookmarkStart w:id="39" w:name="_Toc328064376"/>
      <w:bookmarkStart w:id="40" w:name="_Toc328064799"/>
      <w:bookmarkStart w:id="41" w:name="_Toc328660944"/>
      <w:bookmarkStart w:id="42" w:name="_Toc328731573"/>
      <w:bookmarkStart w:id="43" w:name="_Toc328749163"/>
      <w:bookmarkStart w:id="44" w:name="_Toc328751620"/>
      <w:bookmarkStart w:id="45" w:name="_Toc81233533"/>
      <w:r>
        <w:rPr>
          <w:rFonts w:hint="eastAsia"/>
          <w:color w:val="000000"/>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F5D423E" w14:textId="77777777" w:rsidR="00E92C40" w:rsidRDefault="00EF02E5">
      <w:pPr>
        <w:pStyle w:val="aff3"/>
        <w:rPr>
          <w:color w:val="000000" w:themeColor="text1"/>
        </w:rPr>
      </w:pPr>
      <w:r>
        <w:rPr>
          <w:rFonts w:hint="eastAsia"/>
          <w:color w:val="000000" w:themeColor="text1"/>
        </w:rPr>
        <w:t>本文件规定了液氨使用与储存的一般要求和液氨场所安全要求。</w:t>
      </w:r>
    </w:p>
    <w:p w14:paraId="17C33644" w14:textId="77777777" w:rsidR="00E92C40" w:rsidRDefault="00EF02E5">
      <w:pPr>
        <w:pStyle w:val="aff3"/>
        <w:rPr>
          <w:color w:val="000000"/>
        </w:rPr>
      </w:pPr>
      <w:r>
        <w:rPr>
          <w:rFonts w:hint="eastAsia"/>
          <w:color w:val="000000" w:themeColor="text1"/>
        </w:rPr>
        <w:t>本文件适用于本</w:t>
      </w:r>
      <w:r>
        <w:rPr>
          <w:rFonts w:hint="eastAsia"/>
          <w:color w:val="000000"/>
        </w:rPr>
        <w:t>市液氨的使用与储存。</w:t>
      </w:r>
    </w:p>
    <w:p w14:paraId="37059E34" w14:textId="77777777" w:rsidR="00E92C40" w:rsidRDefault="00EF02E5">
      <w:pPr>
        <w:pStyle w:val="a3"/>
        <w:rPr>
          <w:color w:val="000000"/>
        </w:rPr>
      </w:pPr>
      <w:bookmarkStart w:id="46" w:name="_Toc327888961"/>
      <w:bookmarkStart w:id="47" w:name="_Toc327889195"/>
      <w:bookmarkStart w:id="48" w:name="_Toc327889213"/>
      <w:bookmarkStart w:id="49" w:name="_Toc327889228"/>
      <w:bookmarkStart w:id="50" w:name="_Toc327891130"/>
      <w:bookmarkStart w:id="51" w:name="_Toc327948142"/>
      <w:bookmarkStart w:id="52" w:name="_Toc327952183"/>
      <w:bookmarkStart w:id="53" w:name="_Toc328064377"/>
      <w:bookmarkStart w:id="54" w:name="_Toc328064800"/>
      <w:bookmarkStart w:id="55" w:name="_Toc328660945"/>
      <w:bookmarkStart w:id="56" w:name="_Toc328731574"/>
      <w:bookmarkStart w:id="57" w:name="_Toc328749164"/>
      <w:bookmarkStart w:id="58" w:name="_Toc328751621"/>
      <w:bookmarkStart w:id="59" w:name="_Toc81233534"/>
      <w:r>
        <w:rPr>
          <w:rFonts w:hint="eastAsia"/>
          <w:color w:val="000000"/>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hint="eastAsia"/>
          <w:color w:val="000000"/>
        </w:rPr>
        <w:t xml:space="preserve"> </w:t>
      </w:r>
    </w:p>
    <w:p w14:paraId="6D930003" w14:textId="77777777" w:rsidR="00E92C40" w:rsidRDefault="00EF02E5">
      <w:pPr>
        <w:pStyle w:val="aff3"/>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B746C1A" w14:textId="77777777" w:rsidR="00E92C40" w:rsidRDefault="00EF02E5">
      <w:pPr>
        <w:pStyle w:val="aff3"/>
        <w:rPr>
          <w:color w:val="000000" w:themeColor="text1"/>
        </w:rPr>
      </w:pPr>
      <w:r>
        <w:rPr>
          <w:rFonts w:hint="eastAsia"/>
          <w:color w:val="000000" w:themeColor="text1"/>
        </w:rPr>
        <w:t>GB 2893   安全色</w:t>
      </w:r>
    </w:p>
    <w:p w14:paraId="7C63E268" w14:textId="77777777" w:rsidR="00E92C40" w:rsidRDefault="00EF02E5">
      <w:pPr>
        <w:pStyle w:val="aff3"/>
        <w:rPr>
          <w:color w:val="000000" w:themeColor="text1"/>
        </w:rPr>
      </w:pPr>
      <w:r>
        <w:rPr>
          <w:rFonts w:hint="eastAsia"/>
          <w:color w:val="000000" w:themeColor="text1"/>
        </w:rPr>
        <w:t>GB 2894   安全标志及其使用导则</w:t>
      </w:r>
    </w:p>
    <w:p w14:paraId="1EF19C21" w14:textId="77777777" w:rsidR="00E92C40" w:rsidRDefault="00EF02E5">
      <w:pPr>
        <w:pStyle w:val="aff3"/>
        <w:rPr>
          <w:color w:val="000000" w:themeColor="text1"/>
        </w:rPr>
      </w:pPr>
      <w:r>
        <w:rPr>
          <w:rFonts w:hint="eastAsia"/>
          <w:color w:val="000000" w:themeColor="text1"/>
        </w:rPr>
        <w:t>GB 7231   工业管道的基本识别色、识别符号和安全标识</w:t>
      </w:r>
    </w:p>
    <w:p w14:paraId="35FF6AA4" w14:textId="77777777" w:rsidR="00E92C40" w:rsidRDefault="00EF02E5">
      <w:pPr>
        <w:pStyle w:val="aff3"/>
        <w:rPr>
          <w:color w:val="000000" w:themeColor="text1"/>
        </w:rPr>
      </w:pPr>
      <w:r>
        <w:rPr>
          <w:rFonts w:hint="eastAsia"/>
          <w:color w:val="000000" w:themeColor="text1"/>
        </w:rPr>
        <w:t>GB 12158  防止静电事故通用导则</w:t>
      </w:r>
    </w:p>
    <w:p w14:paraId="22AAE873" w14:textId="77777777" w:rsidR="00E92C40" w:rsidRDefault="00EF02E5">
      <w:pPr>
        <w:pStyle w:val="aff3"/>
        <w:rPr>
          <w:color w:val="000000" w:themeColor="text1"/>
        </w:rPr>
      </w:pPr>
      <w:r>
        <w:rPr>
          <w:rFonts w:hint="eastAsia"/>
          <w:color w:val="000000" w:themeColor="text1"/>
        </w:rPr>
        <w:t xml:space="preserve">GB l6804  </w:t>
      </w:r>
      <w:r>
        <w:rPr>
          <w:color w:val="000000" w:themeColor="text1"/>
        </w:rPr>
        <w:t>气瓶警示标签</w:t>
      </w:r>
    </w:p>
    <w:p w14:paraId="11A45993" w14:textId="77777777" w:rsidR="00E92C40" w:rsidRDefault="00EF02E5">
      <w:pPr>
        <w:pStyle w:val="aff3"/>
        <w:rPr>
          <w:color w:val="000000" w:themeColor="text1"/>
        </w:rPr>
      </w:pPr>
      <w:r>
        <w:rPr>
          <w:rFonts w:hint="eastAsia"/>
          <w:color w:val="000000" w:themeColor="text1"/>
        </w:rPr>
        <w:t>GB 18218  危险化学品重大危险源辨识</w:t>
      </w:r>
    </w:p>
    <w:p w14:paraId="690D0F0D" w14:textId="77777777" w:rsidR="00E92C40" w:rsidRDefault="00EF02E5">
      <w:pPr>
        <w:pStyle w:val="aff3"/>
        <w:rPr>
          <w:color w:val="000000" w:themeColor="text1"/>
        </w:rPr>
      </w:pPr>
      <w:r>
        <w:rPr>
          <w:rFonts w:hint="eastAsia"/>
          <w:color w:val="000000" w:themeColor="text1"/>
        </w:rPr>
        <w:t>GB 28009  冷库安全规程</w:t>
      </w:r>
    </w:p>
    <w:p w14:paraId="35075DD5" w14:textId="77777777" w:rsidR="00E92C40" w:rsidRDefault="00EF02E5">
      <w:pPr>
        <w:pStyle w:val="aff3"/>
        <w:rPr>
          <w:color w:val="000000" w:themeColor="text1"/>
        </w:rPr>
      </w:pPr>
      <w:r>
        <w:rPr>
          <w:rFonts w:hint="eastAsia"/>
          <w:color w:val="000000" w:themeColor="text1"/>
        </w:rPr>
        <w:t>GB 30077  危险化学品单位应急救援物资配备要求</w:t>
      </w:r>
    </w:p>
    <w:p w14:paraId="76A794BC" w14:textId="77777777" w:rsidR="00E92C40" w:rsidRDefault="00EF02E5">
      <w:pPr>
        <w:pStyle w:val="aff3"/>
        <w:rPr>
          <w:color w:val="000000" w:themeColor="text1"/>
        </w:rPr>
      </w:pPr>
      <w:r>
        <w:rPr>
          <w:rFonts w:hint="eastAsia"/>
          <w:color w:val="000000" w:themeColor="text1"/>
        </w:rPr>
        <w:t>GB 50016  建筑设计防火规范</w:t>
      </w:r>
    </w:p>
    <w:p w14:paraId="1601E0C4" w14:textId="77777777" w:rsidR="00E92C40" w:rsidRDefault="00EF02E5">
      <w:pPr>
        <w:pStyle w:val="aff3"/>
        <w:rPr>
          <w:color w:val="000000" w:themeColor="text1"/>
        </w:rPr>
      </w:pPr>
      <w:r>
        <w:rPr>
          <w:color w:val="000000" w:themeColor="text1"/>
        </w:rPr>
        <w:t>GB</w:t>
      </w:r>
      <w:r>
        <w:rPr>
          <w:rFonts w:hint="eastAsia"/>
          <w:color w:val="000000" w:themeColor="text1"/>
        </w:rPr>
        <w:t xml:space="preserve"> </w:t>
      </w:r>
      <w:r>
        <w:rPr>
          <w:color w:val="000000" w:themeColor="text1"/>
        </w:rPr>
        <w:t>50058</w:t>
      </w:r>
      <w:r>
        <w:rPr>
          <w:rFonts w:hint="eastAsia"/>
          <w:color w:val="000000" w:themeColor="text1"/>
        </w:rPr>
        <w:t xml:space="preserve">  爆炸危险环境电力装置设计规范</w:t>
      </w:r>
    </w:p>
    <w:p w14:paraId="61188B67" w14:textId="77777777" w:rsidR="00E92C40" w:rsidRDefault="00EF02E5">
      <w:pPr>
        <w:pStyle w:val="aff3"/>
        <w:rPr>
          <w:color w:val="000000" w:themeColor="text1"/>
        </w:rPr>
      </w:pPr>
      <w:r>
        <w:rPr>
          <w:rFonts w:hint="eastAsia"/>
          <w:color w:val="000000" w:themeColor="text1"/>
        </w:rPr>
        <w:t>GB 50057  建筑物防雷设计规范</w:t>
      </w:r>
    </w:p>
    <w:p w14:paraId="05A8E436" w14:textId="77777777" w:rsidR="00E92C40" w:rsidRDefault="00EF02E5">
      <w:pPr>
        <w:pStyle w:val="aff3"/>
        <w:rPr>
          <w:color w:val="000000" w:themeColor="text1"/>
        </w:rPr>
      </w:pPr>
      <w:r>
        <w:rPr>
          <w:rFonts w:hint="eastAsia"/>
          <w:color w:val="000000" w:themeColor="text1"/>
        </w:rPr>
        <w:t>GB 50072  冷库设计规范</w:t>
      </w:r>
    </w:p>
    <w:p w14:paraId="3B478D69" w14:textId="77777777" w:rsidR="00E92C40" w:rsidRDefault="00EF02E5">
      <w:pPr>
        <w:pStyle w:val="aff3"/>
        <w:rPr>
          <w:color w:val="000000" w:themeColor="text1"/>
        </w:rPr>
      </w:pPr>
      <w:r>
        <w:rPr>
          <w:rFonts w:hint="eastAsia"/>
          <w:color w:val="000000" w:themeColor="text1"/>
        </w:rPr>
        <w:t>GB 50140  建筑灭火器配置设计规范</w:t>
      </w:r>
    </w:p>
    <w:p w14:paraId="4308CBE9" w14:textId="77777777" w:rsidR="00E92C40" w:rsidRDefault="00EF02E5">
      <w:pPr>
        <w:pStyle w:val="aff3"/>
        <w:rPr>
          <w:color w:val="000000" w:themeColor="text1"/>
        </w:rPr>
      </w:pPr>
      <w:r>
        <w:rPr>
          <w:rFonts w:hint="eastAsia"/>
          <w:color w:val="000000" w:themeColor="text1"/>
        </w:rPr>
        <w:t>GBZ 158   工作场所职业病危害警示标识</w:t>
      </w:r>
    </w:p>
    <w:p w14:paraId="43839085" w14:textId="77777777" w:rsidR="00E92C40" w:rsidRDefault="00EF02E5">
      <w:pPr>
        <w:pStyle w:val="aff3"/>
        <w:rPr>
          <w:color w:val="000000" w:themeColor="text1"/>
        </w:rPr>
      </w:pPr>
      <w:r>
        <w:rPr>
          <w:rFonts w:hint="eastAsia"/>
          <w:color w:val="000000" w:themeColor="text1"/>
        </w:rPr>
        <w:t>GB/T 50493  石油化工可燃气体和有毒气体检测报警设计标准</w:t>
      </w:r>
    </w:p>
    <w:p w14:paraId="294C2738" w14:textId="77777777" w:rsidR="00E92C40" w:rsidRDefault="00EF02E5">
      <w:pPr>
        <w:pStyle w:val="aff3"/>
        <w:rPr>
          <w:color w:val="000000" w:themeColor="text1"/>
        </w:rPr>
      </w:pPr>
      <w:r>
        <w:rPr>
          <w:color w:val="000000" w:themeColor="text1"/>
        </w:rPr>
        <w:t>GB/T</w:t>
      </w:r>
      <w:r>
        <w:rPr>
          <w:rFonts w:hint="eastAsia"/>
          <w:color w:val="000000" w:themeColor="text1"/>
        </w:rPr>
        <w:t xml:space="preserve"> </w:t>
      </w:r>
      <w:r>
        <w:rPr>
          <w:color w:val="000000" w:themeColor="text1"/>
        </w:rPr>
        <w:t>29639</w:t>
      </w:r>
      <w:r>
        <w:rPr>
          <w:rFonts w:hint="eastAsia"/>
          <w:color w:val="000000" w:themeColor="text1"/>
        </w:rPr>
        <w:t xml:space="preserve"> 生产经营单位生产安全事故应急预案编制导则</w:t>
      </w:r>
    </w:p>
    <w:p w14:paraId="69894E35" w14:textId="77777777" w:rsidR="00E92C40" w:rsidRDefault="00EF02E5">
      <w:pPr>
        <w:pStyle w:val="aff3"/>
        <w:rPr>
          <w:color w:val="000000" w:themeColor="text1"/>
        </w:rPr>
      </w:pPr>
      <w:r>
        <w:rPr>
          <w:rFonts w:hint="eastAsia"/>
          <w:color w:val="000000" w:themeColor="text1"/>
        </w:rPr>
        <w:t>AQ 7015 氨制冷企业安全规范</w:t>
      </w:r>
    </w:p>
    <w:p w14:paraId="538A304D" w14:textId="77777777" w:rsidR="00E92C40" w:rsidRDefault="00EF02E5">
      <w:pPr>
        <w:pStyle w:val="aff3"/>
        <w:rPr>
          <w:color w:val="000000" w:themeColor="text1"/>
        </w:rPr>
      </w:pPr>
      <w:r>
        <w:rPr>
          <w:rFonts w:hint="eastAsia"/>
          <w:color w:val="000000" w:themeColor="text1"/>
        </w:rPr>
        <w:t>DB11/T 384（所有部分） 图像信息管理系统技术规范</w:t>
      </w:r>
    </w:p>
    <w:p w14:paraId="776BED22" w14:textId="77777777" w:rsidR="00E92C40" w:rsidRDefault="00EF02E5">
      <w:pPr>
        <w:pStyle w:val="aff3"/>
        <w:rPr>
          <w:color w:val="000000" w:themeColor="text1"/>
        </w:rPr>
      </w:pPr>
      <w:r>
        <w:rPr>
          <w:color w:val="000000" w:themeColor="text1"/>
        </w:rPr>
        <w:t>DB11/T</w:t>
      </w:r>
      <w:r>
        <w:rPr>
          <w:rFonts w:hint="eastAsia"/>
          <w:color w:val="000000" w:themeColor="text1"/>
        </w:rPr>
        <w:t xml:space="preserve"> </w:t>
      </w:r>
      <w:r>
        <w:rPr>
          <w:color w:val="000000" w:themeColor="text1"/>
        </w:rPr>
        <w:t>1320</w:t>
      </w:r>
      <w:r>
        <w:rPr>
          <w:rFonts w:hint="eastAsia"/>
          <w:color w:val="000000" w:themeColor="text1"/>
        </w:rPr>
        <w:t xml:space="preserve"> 危险场所电气防爆安全检测技术规范</w:t>
      </w:r>
    </w:p>
    <w:p w14:paraId="02753887" w14:textId="77777777" w:rsidR="00E92C40" w:rsidRDefault="00EF02E5">
      <w:pPr>
        <w:pStyle w:val="aff3"/>
        <w:rPr>
          <w:color w:val="000000" w:themeColor="text1"/>
        </w:rPr>
      </w:pPr>
      <w:r>
        <w:rPr>
          <w:rFonts w:hint="eastAsia"/>
          <w:color w:val="000000" w:themeColor="text1"/>
        </w:rPr>
        <w:t>JB/T 7658.12 制冷装置用辅助设备 第12部分：紧急泄氨器</w:t>
      </w:r>
    </w:p>
    <w:p w14:paraId="66063A3A" w14:textId="77777777" w:rsidR="00E92C40" w:rsidRDefault="00EF02E5">
      <w:pPr>
        <w:pStyle w:val="aff3"/>
        <w:rPr>
          <w:color w:val="000000" w:themeColor="text1"/>
        </w:rPr>
      </w:pPr>
      <w:r>
        <w:rPr>
          <w:rFonts w:hint="eastAsia"/>
          <w:color w:val="000000" w:themeColor="text1"/>
        </w:rPr>
        <w:t>TSG R0005 移动式压力容器安全技术监察规程</w:t>
      </w:r>
    </w:p>
    <w:p w14:paraId="17F4C334" w14:textId="77777777" w:rsidR="00E92C40" w:rsidRDefault="00EF02E5">
      <w:pPr>
        <w:pStyle w:val="aff3"/>
        <w:rPr>
          <w:color w:val="000000" w:themeColor="text1"/>
        </w:rPr>
      </w:pPr>
      <w:r>
        <w:rPr>
          <w:rFonts w:hint="eastAsia"/>
          <w:color w:val="000000" w:themeColor="text1"/>
        </w:rPr>
        <w:t>SBJ 12 氨制冷系统安装工程施工及验收规范</w:t>
      </w:r>
    </w:p>
    <w:p w14:paraId="23F15D3C" w14:textId="77777777" w:rsidR="00E92C40" w:rsidRDefault="00EF02E5">
      <w:pPr>
        <w:pStyle w:val="a3"/>
        <w:rPr>
          <w:color w:val="000000"/>
        </w:rPr>
      </w:pPr>
      <w:bookmarkStart w:id="60" w:name="_Toc327889196"/>
      <w:bookmarkStart w:id="61" w:name="_Toc327889214"/>
      <w:bookmarkStart w:id="62" w:name="_Toc327889229"/>
      <w:bookmarkStart w:id="63" w:name="_Toc327891131"/>
      <w:bookmarkStart w:id="64" w:name="_Toc327948143"/>
      <w:bookmarkStart w:id="65" w:name="_Toc327952184"/>
      <w:bookmarkStart w:id="66" w:name="_Toc328064378"/>
      <w:bookmarkStart w:id="67" w:name="_Toc328064801"/>
      <w:bookmarkStart w:id="68" w:name="_Toc328660946"/>
      <w:bookmarkStart w:id="69" w:name="_Toc328731575"/>
      <w:bookmarkStart w:id="70" w:name="_Toc328749165"/>
      <w:bookmarkStart w:id="71" w:name="_Toc328751622"/>
      <w:bookmarkStart w:id="72" w:name="_Toc81233535"/>
      <w:bookmarkEnd w:id="60"/>
      <w:bookmarkEnd w:id="61"/>
      <w:bookmarkEnd w:id="62"/>
      <w:r>
        <w:rPr>
          <w:rFonts w:hint="eastAsia"/>
          <w:color w:val="000000"/>
        </w:rPr>
        <w:t>术语和定义</w:t>
      </w:r>
      <w:bookmarkEnd w:id="63"/>
      <w:bookmarkEnd w:id="64"/>
      <w:bookmarkEnd w:id="65"/>
      <w:bookmarkEnd w:id="66"/>
      <w:bookmarkEnd w:id="67"/>
      <w:bookmarkEnd w:id="68"/>
      <w:bookmarkEnd w:id="69"/>
      <w:bookmarkEnd w:id="70"/>
      <w:bookmarkEnd w:id="71"/>
      <w:bookmarkEnd w:id="72"/>
    </w:p>
    <w:p w14:paraId="7D929B3D" w14:textId="77777777" w:rsidR="00E92C40" w:rsidRDefault="00EF02E5">
      <w:pPr>
        <w:pStyle w:val="aff3"/>
        <w:rPr>
          <w:color w:val="000000"/>
        </w:rPr>
      </w:pPr>
      <w:r>
        <w:rPr>
          <w:rFonts w:hint="eastAsia"/>
          <w:color w:val="000000"/>
        </w:rPr>
        <w:t>下列术语和定义适用本文件。</w:t>
      </w:r>
      <w:bookmarkStart w:id="73" w:name="_Toc327889197"/>
      <w:bookmarkStart w:id="74" w:name="_Toc327889215"/>
      <w:bookmarkStart w:id="75" w:name="_Toc327889199"/>
      <w:bookmarkEnd w:id="73"/>
      <w:bookmarkEnd w:id="74"/>
      <w:bookmarkEnd w:id="75"/>
    </w:p>
    <w:p w14:paraId="7C5A6832" w14:textId="77777777" w:rsidR="00E92C40" w:rsidRDefault="00E92C40">
      <w:pPr>
        <w:pStyle w:val="a4"/>
        <w:rPr>
          <w:color w:val="000000"/>
        </w:rPr>
      </w:pPr>
      <w:bookmarkStart w:id="76" w:name="_Toc302482337"/>
      <w:bookmarkStart w:id="77" w:name="_Toc81233536"/>
      <w:bookmarkEnd w:id="76"/>
      <w:bookmarkEnd w:id="77"/>
    </w:p>
    <w:p w14:paraId="335C3BE1" w14:textId="77777777" w:rsidR="00E92C40" w:rsidRDefault="00EF02E5">
      <w:pPr>
        <w:pStyle w:val="a4"/>
        <w:numPr>
          <w:ilvl w:val="0"/>
          <w:numId w:val="0"/>
        </w:numPr>
        <w:ind w:firstLineChars="200" w:firstLine="420"/>
        <w:rPr>
          <w:rFonts w:hAnsi="黑体"/>
          <w:color w:val="000000"/>
        </w:rPr>
      </w:pPr>
      <w:bookmarkStart w:id="78" w:name="_Toc81233537"/>
      <w:r>
        <w:rPr>
          <w:rFonts w:hAnsi="黑体" w:hint="eastAsia"/>
          <w:color w:val="000000"/>
        </w:rPr>
        <w:lastRenderedPageBreak/>
        <w:t>液氨场所 liquid ammonia space</w:t>
      </w:r>
      <w:bookmarkEnd w:id="78"/>
      <w:r>
        <w:rPr>
          <w:rFonts w:hAnsi="黑体" w:hint="eastAsia"/>
          <w:color w:val="000000"/>
        </w:rPr>
        <w:t xml:space="preserve">    </w:t>
      </w:r>
    </w:p>
    <w:p w14:paraId="7471E7FF" w14:textId="77777777" w:rsidR="00E92C40" w:rsidRDefault="00EF02E5">
      <w:pPr>
        <w:tabs>
          <w:tab w:val="left" w:pos="720"/>
        </w:tabs>
        <w:autoSpaceDE w:val="0"/>
        <w:autoSpaceDN w:val="0"/>
        <w:adjustRightInd w:val="0"/>
        <w:spacing w:before="1" w:after="95"/>
        <w:ind w:right="18"/>
        <w:jc w:val="left"/>
        <w:rPr>
          <w:color w:val="000000"/>
        </w:rPr>
      </w:pPr>
      <w:r>
        <w:rPr>
          <w:rFonts w:hint="eastAsia"/>
          <w:color w:val="000000"/>
        </w:rPr>
        <w:t xml:space="preserve">    </w:t>
      </w:r>
      <w:r>
        <w:rPr>
          <w:rFonts w:hint="eastAsia"/>
          <w:color w:val="000000"/>
        </w:rPr>
        <w:t>液氨钢瓶储存区和储罐区、装卸区、用氨厂房的统称。</w:t>
      </w:r>
    </w:p>
    <w:p w14:paraId="50DE29DB" w14:textId="77777777" w:rsidR="00E92C40" w:rsidRDefault="00E92C40">
      <w:pPr>
        <w:pStyle w:val="a4"/>
        <w:rPr>
          <w:color w:val="000000"/>
        </w:rPr>
      </w:pPr>
      <w:bookmarkStart w:id="79" w:name="_Toc302482339"/>
      <w:bookmarkStart w:id="80" w:name="_Toc299545368"/>
      <w:bookmarkStart w:id="81" w:name="_Toc299689070"/>
      <w:bookmarkStart w:id="82" w:name="_Toc81233538"/>
      <w:bookmarkEnd w:id="79"/>
      <w:bookmarkEnd w:id="82"/>
    </w:p>
    <w:p w14:paraId="75F89916" w14:textId="77777777" w:rsidR="00E92C40" w:rsidRDefault="00EF02E5">
      <w:pPr>
        <w:pStyle w:val="a4"/>
        <w:numPr>
          <w:ilvl w:val="0"/>
          <w:numId w:val="0"/>
        </w:numPr>
        <w:ind w:firstLineChars="200" w:firstLine="420"/>
        <w:rPr>
          <w:rFonts w:hAnsi="宋体"/>
          <w:color w:val="000000"/>
        </w:rPr>
      </w:pPr>
      <w:bookmarkStart w:id="83" w:name="_Toc81233539"/>
      <w:r>
        <w:rPr>
          <w:rFonts w:hint="eastAsia"/>
          <w:color w:val="000000"/>
        </w:rPr>
        <w:t>储</w:t>
      </w:r>
      <w:r>
        <w:rPr>
          <w:rFonts w:hAnsi="黑体" w:hint="eastAsia"/>
          <w:color w:val="000000"/>
        </w:rPr>
        <w:t xml:space="preserve">罐区 </w:t>
      </w:r>
      <w:r>
        <w:rPr>
          <w:rFonts w:hAnsi="黑体"/>
          <w:color w:val="000000"/>
        </w:rPr>
        <w:t>storage</w:t>
      </w:r>
      <w:r>
        <w:rPr>
          <w:rFonts w:hAnsi="黑体" w:hint="eastAsia"/>
          <w:color w:val="000000"/>
        </w:rPr>
        <w:t xml:space="preserve"> tank district</w:t>
      </w:r>
      <w:bookmarkEnd w:id="83"/>
    </w:p>
    <w:p w14:paraId="5D15DBB9" w14:textId="77777777" w:rsidR="00E92C40" w:rsidRDefault="00EF02E5">
      <w:pPr>
        <w:tabs>
          <w:tab w:val="left" w:pos="720"/>
        </w:tabs>
        <w:autoSpaceDE w:val="0"/>
        <w:autoSpaceDN w:val="0"/>
        <w:adjustRightInd w:val="0"/>
        <w:spacing w:before="1" w:after="95"/>
        <w:ind w:right="18"/>
        <w:jc w:val="left"/>
        <w:rPr>
          <w:color w:val="000000"/>
        </w:rPr>
      </w:pPr>
      <w:r>
        <w:rPr>
          <w:rFonts w:hint="eastAsia"/>
          <w:color w:val="000000"/>
        </w:rPr>
        <w:t xml:space="preserve">    </w:t>
      </w:r>
      <w:r>
        <w:rPr>
          <w:rFonts w:hint="eastAsia"/>
          <w:color w:val="000000"/>
        </w:rPr>
        <w:t>由一个或若干个储存液氨的储罐组成的相对独立区域。</w:t>
      </w:r>
    </w:p>
    <w:p w14:paraId="2A9B366E" w14:textId="77777777" w:rsidR="00E92C40" w:rsidRDefault="00E92C40">
      <w:pPr>
        <w:pStyle w:val="a4"/>
        <w:rPr>
          <w:color w:val="000000"/>
        </w:rPr>
      </w:pPr>
      <w:bookmarkStart w:id="84" w:name="_Toc302482341"/>
      <w:bookmarkStart w:id="85" w:name="_Toc299545369"/>
      <w:bookmarkStart w:id="86" w:name="_Toc299689071"/>
      <w:bookmarkStart w:id="87" w:name="_Toc81233540"/>
      <w:bookmarkEnd w:id="80"/>
      <w:bookmarkEnd w:id="81"/>
      <w:bookmarkEnd w:id="84"/>
      <w:bookmarkEnd w:id="87"/>
    </w:p>
    <w:p w14:paraId="1F83D4DB" w14:textId="77777777" w:rsidR="00E92C40" w:rsidRDefault="00EF02E5">
      <w:pPr>
        <w:pStyle w:val="a4"/>
        <w:numPr>
          <w:ilvl w:val="0"/>
          <w:numId w:val="0"/>
        </w:numPr>
        <w:ind w:firstLineChars="200" w:firstLine="420"/>
        <w:rPr>
          <w:rFonts w:hAnsi="宋体"/>
          <w:color w:val="000000"/>
        </w:rPr>
      </w:pPr>
      <w:bookmarkStart w:id="88" w:name="_Toc81233541"/>
      <w:r>
        <w:rPr>
          <w:rFonts w:hAnsi="黑体" w:hint="eastAsia"/>
          <w:color w:val="000000"/>
        </w:rPr>
        <w:t>钢瓶储存区 steel cylinder storage district</w:t>
      </w:r>
      <w:bookmarkEnd w:id="88"/>
      <w:r>
        <w:rPr>
          <w:rFonts w:hint="eastAsia"/>
          <w:color w:val="000000"/>
        </w:rPr>
        <w:t xml:space="preserve">  </w:t>
      </w:r>
    </w:p>
    <w:p w14:paraId="1F89A68F" w14:textId="77777777" w:rsidR="00E92C40" w:rsidRDefault="00EF02E5">
      <w:pPr>
        <w:rPr>
          <w:color w:val="000000"/>
        </w:rPr>
      </w:pPr>
      <w:r>
        <w:rPr>
          <w:rFonts w:hint="eastAsia"/>
          <w:color w:val="000000"/>
        </w:rPr>
        <w:t xml:space="preserve">    </w:t>
      </w:r>
      <w:r>
        <w:rPr>
          <w:rFonts w:hint="eastAsia"/>
          <w:color w:val="000000"/>
        </w:rPr>
        <w:t>储存若干个液氨钢瓶的相对独立区域，包括液氨钢瓶储存仓库和棚库。</w:t>
      </w:r>
    </w:p>
    <w:p w14:paraId="7EC77CFC" w14:textId="77777777" w:rsidR="00E92C40" w:rsidRDefault="00E92C40">
      <w:pPr>
        <w:pStyle w:val="a4"/>
        <w:rPr>
          <w:color w:val="000000"/>
        </w:rPr>
      </w:pPr>
      <w:bookmarkStart w:id="89" w:name="_Toc81233542"/>
      <w:bookmarkEnd w:id="85"/>
      <w:bookmarkEnd w:id="86"/>
      <w:bookmarkEnd w:id="89"/>
    </w:p>
    <w:p w14:paraId="4612C2DD" w14:textId="77777777" w:rsidR="00E92C40" w:rsidRDefault="00EF02E5">
      <w:pPr>
        <w:pStyle w:val="a4"/>
        <w:numPr>
          <w:ilvl w:val="0"/>
          <w:numId w:val="0"/>
        </w:numPr>
        <w:ind w:firstLineChars="200" w:firstLine="420"/>
        <w:rPr>
          <w:color w:val="000000"/>
        </w:rPr>
      </w:pPr>
      <w:bookmarkStart w:id="90" w:name="_Toc302482343"/>
      <w:bookmarkStart w:id="91" w:name="_Toc81233543"/>
      <w:bookmarkEnd w:id="90"/>
      <w:r>
        <w:rPr>
          <w:rFonts w:hint="eastAsia"/>
          <w:color w:val="000000"/>
        </w:rPr>
        <w:t>现场处置方案 on-site disposal program</w:t>
      </w:r>
      <w:bookmarkEnd w:id="91"/>
      <w:r>
        <w:rPr>
          <w:rFonts w:hint="eastAsia"/>
          <w:color w:val="000000"/>
        </w:rPr>
        <w:t xml:space="preserve"> </w:t>
      </w:r>
    </w:p>
    <w:p w14:paraId="58CA60BD" w14:textId="77777777" w:rsidR="00E92C40" w:rsidRDefault="00EF02E5">
      <w:pPr>
        <w:pStyle w:val="aff3"/>
        <w:rPr>
          <w:color w:val="000000"/>
        </w:rPr>
      </w:pPr>
      <w:r>
        <w:rPr>
          <w:rFonts w:hint="eastAsia"/>
          <w:color w:val="000000"/>
          <w:szCs w:val="21"/>
        </w:rPr>
        <w:t>针对具体的装置、场所或设施、岗位所制定的应急处置措施</w:t>
      </w:r>
      <w:r>
        <w:rPr>
          <w:color w:val="000000"/>
        </w:rPr>
        <w:t>。</w:t>
      </w:r>
    </w:p>
    <w:p w14:paraId="66EE254C" w14:textId="77777777" w:rsidR="00E92C40" w:rsidRDefault="00E92C40">
      <w:pPr>
        <w:pStyle w:val="a4"/>
        <w:rPr>
          <w:color w:val="000000"/>
          <w:kern w:val="2"/>
        </w:rPr>
      </w:pPr>
      <w:bookmarkStart w:id="92" w:name="_Toc302482345"/>
      <w:bookmarkStart w:id="93" w:name="_Toc81233544"/>
      <w:bookmarkEnd w:id="92"/>
      <w:bookmarkEnd w:id="93"/>
    </w:p>
    <w:p w14:paraId="5919D15D" w14:textId="77777777" w:rsidR="00E92C40" w:rsidRDefault="00EF02E5">
      <w:pPr>
        <w:pStyle w:val="a4"/>
        <w:numPr>
          <w:ilvl w:val="0"/>
          <w:numId w:val="0"/>
        </w:numPr>
        <w:ind w:firstLineChars="200" w:firstLine="420"/>
        <w:rPr>
          <w:color w:val="000000"/>
          <w:kern w:val="2"/>
        </w:rPr>
      </w:pPr>
      <w:bookmarkStart w:id="94" w:name="_Toc302482346"/>
      <w:bookmarkStart w:id="95" w:name="_Toc81233545"/>
      <w:r>
        <w:rPr>
          <w:rFonts w:hint="eastAsia"/>
          <w:color w:val="000000"/>
        </w:rPr>
        <w:t>用氨厂房 ammonia plant</w:t>
      </w:r>
      <w:bookmarkEnd w:id="95"/>
      <w:r>
        <w:rPr>
          <w:rFonts w:hint="eastAsia"/>
          <w:color w:val="000000"/>
          <w:kern w:val="2"/>
        </w:rPr>
        <w:t xml:space="preserve"> </w:t>
      </w:r>
      <w:bookmarkEnd w:id="94"/>
    </w:p>
    <w:p w14:paraId="4E81C72F" w14:textId="77777777" w:rsidR="00E92C40" w:rsidRDefault="00EF02E5">
      <w:pPr>
        <w:autoSpaceDE w:val="0"/>
        <w:autoSpaceDN w:val="0"/>
        <w:adjustRightInd w:val="0"/>
        <w:jc w:val="left"/>
        <w:rPr>
          <w:color w:val="000000"/>
        </w:rPr>
      </w:pPr>
      <w:r>
        <w:rPr>
          <w:rFonts w:hint="eastAsia"/>
          <w:color w:val="000000"/>
          <w:kern w:val="0"/>
        </w:rPr>
        <w:t xml:space="preserve">    </w:t>
      </w:r>
      <w:r>
        <w:rPr>
          <w:rFonts w:hint="eastAsia"/>
          <w:color w:val="000000"/>
          <w:kern w:val="0"/>
        </w:rPr>
        <w:t>在生产工艺或系统中使用液氨以及充装液氨的车间，包括氨制冷机房、充装间、用氨生产车间和冷库库房等。</w:t>
      </w:r>
    </w:p>
    <w:p w14:paraId="63C32D37" w14:textId="77777777" w:rsidR="00E92C40" w:rsidRDefault="00E92C40">
      <w:pPr>
        <w:pStyle w:val="a4"/>
        <w:rPr>
          <w:color w:val="000000"/>
          <w:kern w:val="2"/>
        </w:rPr>
      </w:pPr>
      <w:bookmarkStart w:id="96" w:name="_Toc302482347"/>
      <w:bookmarkStart w:id="97" w:name="_Toc81233546"/>
      <w:bookmarkEnd w:id="96"/>
      <w:bookmarkEnd w:id="97"/>
    </w:p>
    <w:p w14:paraId="51AA7A56" w14:textId="77777777" w:rsidR="00E92C40" w:rsidRDefault="00EF02E5">
      <w:pPr>
        <w:pStyle w:val="a4"/>
        <w:numPr>
          <w:ilvl w:val="0"/>
          <w:numId w:val="0"/>
        </w:numPr>
        <w:ind w:firstLineChars="200" w:firstLine="420"/>
        <w:rPr>
          <w:color w:val="000000"/>
          <w:kern w:val="2"/>
        </w:rPr>
      </w:pPr>
      <w:bookmarkStart w:id="98" w:name="_Toc302482350"/>
      <w:bookmarkStart w:id="99" w:name="_Toc81233547"/>
      <w:r>
        <w:rPr>
          <w:rFonts w:hint="eastAsia"/>
          <w:color w:val="000000"/>
        </w:rPr>
        <w:t>冷库库房 cold storehouse</w:t>
      </w:r>
      <w:bookmarkEnd w:id="98"/>
      <w:bookmarkEnd w:id="99"/>
    </w:p>
    <w:p w14:paraId="1424098A" w14:textId="77777777" w:rsidR="00E92C40" w:rsidRDefault="00EF02E5">
      <w:pPr>
        <w:pStyle w:val="aff3"/>
        <w:rPr>
          <w:color w:val="000000"/>
        </w:rPr>
      </w:pPr>
      <w:r>
        <w:rPr>
          <w:rFonts w:hint="eastAsia"/>
          <w:color w:val="000000"/>
          <w:szCs w:val="21"/>
        </w:rPr>
        <w:t>冷库建筑物主体及为其服务的楼梯间、电梯、穿堂等附属房间</w:t>
      </w:r>
      <w:r>
        <w:rPr>
          <w:rFonts w:hint="eastAsia"/>
          <w:color w:val="000000"/>
        </w:rPr>
        <w:t>。</w:t>
      </w:r>
    </w:p>
    <w:p w14:paraId="458EB3DF" w14:textId="77777777" w:rsidR="00E92C40" w:rsidRDefault="00E92C40">
      <w:pPr>
        <w:pStyle w:val="a4"/>
        <w:rPr>
          <w:color w:val="000000"/>
          <w:kern w:val="2"/>
        </w:rPr>
      </w:pPr>
      <w:bookmarkStart w:id="100" w:name="_Toc302482349"/>
      <w:bookmarkStart w:id="101" w:name="_Toc81233548"/>
      <w:bookmarkEnd w:id="100"/>
      <w:bookmarkEnd w:id="101"/>
    </w:p>
    <w:p w14:paraId="0E974975" w14:textId="77777777" w:rsidR="00E92C40" w:rsidRDefault="00EF02E5">
      <w:pPr>
        <w:pStyle w:val="a4"/>
        <w:numPr>
          <w:ilvl w:val="0"/>
          <w:numId w:val="0"/>
        </w:numPr>
        <w:ind w:firstLineChars="200" w:firstLine="420"/>
        <w:rPr>
          <w:color w:val="000000"/>
          <w:kern w:val="2"/>
        </w:rPr>
      </w:pPr>
      <w:bookmarkStart w:id="102" w:name="_Toc302482348"/>
      <w:bookmarkStart w:id="103" w:name="_Toc81233549"/>
      <w:r>
        <w:rPr>
          <w:rFonts w:hint="eastAsia"/>
          <w:color w:val="000000"/>
        </w:rPr>
        <w:t>氨制冷机房 ammonia refrigeration machine room</w:t>
      </w:r>
      <w:bookmarkEnd w:id="102"/>
      <w:bookmarkEnd w:id="103"/>
    </w:p>
    <w:p w14:paraId="5CE9C001" w14:textId="77777777" w:rsidR="00E92C40" w:rsidRDefault="00EF02E5">
      <w:pPr>
        <w:pStyle w:val="aff3"/>
        <w:rPr>
          <w:color w:val="000000"/>
        </w:rPr>
      </w:pPr>
      <w:r>
        <w:rPr>
          <w:rFonts w:hAnsi="宋体" w:hint="eastAsia"/>
          <w:color w:val="000000"/>
          <w:szCs w:val="21"/>
        </w:rPr>
        <w:t>氨制冷机器间和设备间的总称</w:t>
      </w:r>
      <w:r>
        <w:rPr>
          <w:rFonts w:hint="eastAsia"/>
          <w:color w:val="000000"/>
        </w:rPr>
        <w:t>。</w:t>
      </w:r>
    </w:p>
    <w:p w14:paraId="0E77D08A" w14:textId="77777777" w:rsidR="00E92C40" w:rsidRDefault="00E92C40">
      <w:pPr>
        <w:pStyle w:val="a4"/>
        <w:rPr>
          <w:color w:val="000000"/>
          <w:kern w:val="2"/>
        </w:rPr>
      </w:pPr>
      <w:bookmarkStart w:id="104" w:name="_Toc81233550"/>
      <w:bookmarkEnd w:id="104"/>
    </w:p>
    <w:p w14:paraId="2588005F" w14:textId="77777777" w:rsidR="00E92C40" w:rsidRDefault="00EF02E5">
      <w:pPr>
        <w:pStyle w:val="aff3"/>
        <w:spacing w:beforeLines="50" w:before="156" w:afterLines="50" w:after="156"/>
        <w:rPr>
          <w:rFonts w:ascii="黑体" w:eastAsia="黑体"/>
          <w:noProof w:val="0"/>
          <w:color w:val="000000"/>
          <w:szCs w:val="21"/>
        </w:rPr>
      </w:pPr>
      <w:r>
        <w:rPr>
          <w:rFonts w:ascii="黑体" w:eastAsia="黑体" w:hint="eastAsia"/>
          <w:noProof w:val="0"/>
          <w:color w:val="000000"/>
          <w:szCs w:val="21"/>
        </w:rPr>
        <w:t>机器间 machine room</w:t>
      </w:r>
    </w:p>
    <w:p w14:paraId="6D8305DD" w14:textId="77777777" w:rsidR="00E92C40" w:rsidRDefault="00EF02E5">
      <w:pPr>
        <w:pStyle w:val="aff3"/>
        <w:spacing w:beforeLines="50" w:before="156" w:afterLines="50" w:after="156"/>
        <w:rPr>
          <w:color w:val="000000"/>
        </w:rPr>
      </w:pPr>
      <w:r>
        <w:rPr>
          <w:rFonts w:hint="eastAsia"/>
          <w:color w:val="000000"/>
        </w:rPr>
        <w:t>安装氨制冷压缩机的房间。</w:t>
      </w:r>
      <w:bookmarkStart w:id="105" w:name="_Toc302482355"/>
    </w:p>
    <w:p w14:paraId="5684E8D1" w14:textId="77777777" w:rsidR="00E92C40" w:rsidRDefault="00E92C40">
      <w:pPr>
        <w:pStyle w:val="a4"/>
        <w:rPr>
          <w:color w:val="000000"/>
          <w:kern w:val="2"/>
        </w:rPr>
      </w:pPr>
      <w:bookmarkStart w:id="106" w:name="_Toc81233551"/>
      <w:bookmarkEnd w:id="106"/>
    </w:p>
    <w:p w14:paraId="43E48BBE" w14:textId="77777777" w:rsidR="00E92C40" w:rsidRDefault="00EF02E5">
      <w:pPr>
        <w:pStyle w:val="aff3"/>
        <w:spacing w:beforeLines="50" w:before="156" w:afterLines="50" w:after="156"/>
        <w:rPr>
          <w:rFonts w:ascii="黑体" w:eastAsia="黑体"/>
          <w:noProof w:val="0"/>
          <w:color w:val="000000"/>
          <w:szCs w:val="21"/>
        </w:rPr>
      </w:pPr>
      <w:r>
        <w:rPr>
          <w:rFonts w:ascii="黑体" w:eastAsia="黑体" w:hint="eastAsia"/>
          <w:noProof w:val="0"/>
          <w:color w:val="000000"/>
          <w:szCs w:val="21"/>
        </w:rPr>
        <w:t>设备间 equipment room</w:t>
      </w:r>
    </w:p>
    <w:p w14:paraId="31D1CE7E" w14:textId="77777777" w:rsidR="00E92C40" w:rsidRDefault="00EF02E5">
      <w:pPr>
        <w:pStyle w:val="aff3"/>
        <w:spacing w:beforeLines="50" w:before="156" w:afterLines="50" w:after="156"/>
        <w:rPr>
          <w:color w:val="000000"/>
        </w:rPr>
      </w:pPr>
      <w:r>
        <w:rPr>
          <w:rFonts w:hint="eastAsia"/>
          <w:color w:val="000000"/>
        </w:rPr>
        <w:t>安装氨制冷辅助设备的房间。</w:t>
      </w:r>
    </w:p>
    <w:p w14:paraId="58EB82C7" w14:textId="77777777" w:rsidR="00E92C40" w:rsidRDefault="00EF02E5">
      <w:pPr>
        <w:pStyle w:val="a3"/>
        <w:rPr>
          <w:color w:val="000000"/>
        </w:rPr>
      </w:pPr>
      <w:bookmarkStart w:id="107" w:name="_Toc327891132"/>
      <w:bookmarkStart w:id="108" w:name="_Toc327948144"/>
      <w:bookmarkStart w:id="109" w:name="_Toc327952185"/>
      <w:bookmarkStart w:id="110" w:name="_Toc328064379"/>
      <w:bookmarkStart w:id="111" w:name="_Toc328064802"/>
      <w:bookmarkStart w:id="112" w:name="_Toc328660947"/>
      <w:bookmarkStart w:id="113" w:name="_Toc328731576"/>
      <w:bookmarkStart w:id="114" w:name="_Toc328749166"/>
      <w:bookmarkStart w:id="115" w:name="_Toc328751623"/>
      <w:bookmarkStart w:id="116" w:name="_Toc81233552"/>
      <w:bookmarkEnd w:id="105"/>
      <w:r>
        <w:rPr>
          <w:rFonts w:hint="eastAsia"/>
          <w:color w:val="000000"/>
        </w:rPr>
        <w:t>一般要求</w:t>
      </w:r>
      <w:bookmarkEnd w:id="107"/>
      <w:bookmarkEnd w:id="108"/>
      <w:bookmarkEnd w:id="109"/>
      <w:bookmarkEnd w:id="110"/>
      <w:bookmarkEnd w:id="111"/>
      <w:bookmarkEnd w:id="112"/>
      <w:bookmarkEnd w:id="113"/>
      <w:bookmarkEnd w:id="114"/>
      <w:bookmarkEnd w:id="115"/>
      <w:bookmarkEnd w:id="116"/>
    </w:p>
    <w:p w14:paraId="5E04DF50" w14:textId="77777777" w:rsidR="00E92C40" w:rsidRDefault="00EF02E5">
      <w:pPr>
        <w:pStyle w:val="a4"/>
        <w:spacing w:line="360" w:lineRule="exact"/>
        <w:rPr>
          <w:color w:val="000000" w:themeColor="text1"/>
        </w:rPr>
      </w:pPr>
      <w:bookmarkStart w:id="117" w:name="_Toc81233553"/>
      <w:r>
        <w:rPr>
          <w:rFonts w:hint="eastAsia"/>
          <w:color w:val="000000" w:themeColor="text1"/>
        </w:rPr>
        <w:lastRenderedPageBreak/>
        <w:t>设施建设</w:t>
      </w:r>
      <w:bookmarkEnd w:id="117"/>
    </w:p>
    <w:p w14:paraId="7BF7E3CA" w14:textId="77777777" w:rsidR="00E92C40" w:rsidRDefault="00EF02E5" w:rsidP="00180378">
      <w:pPr>
        <w:pStyle w:val="a5"/>
        <w:spacing w:beforeLines="0" w:before="0" w:afterLines="0" w:after="0"/>
        <w:ind w:left="0"/>
        <w:rPr>
          <w:rFonts w:ascii="宋体" w:eastAsia="宋体" w:hAnsi="宋体"/>
          <w:color w:val="000000" w:themeColor="text1"/>
        </w:rPr>
      </w:pPr>
      <w:r>
        <w:rPr>
          <w:rFonts w:ascii="宋体" w:eastAsia="宋体" w:hAnsi="宋体" w:hint="eastAsia"/>
          <w:color w:val="000000" w:themeColor="text1"/>
        </w:rPr>
        <w:t>液氨场所宜布置在企业厂区边缘地带，并位于企业全年最小频率风向的上风侧。</w:t>
      </w:r>
    </w:p>
    <w:p w14:paraId="6FEAB384" w14:textId="77777777" w:rsidR="00E92C40" w:rsidRDefault="00EF02E5" w:rsidP="00180378">
      <w:pPr>
        <w:pStyle w:val="a5"/>
        <w:spacing w:beforeLines="0" w:before="0" w:afterLines="0" w:after="0"/>
        <w:ind w:left="0"/>
        <w:rPr>
          <w:rFonts w:ascii="宋体" w:eastAsia="宋体" w:hAnsi="宋体"/>
          <w:color w:val="000000" w:themeColor="text1"/>
        </w:rPr>
      </w:pPr>
      <w:r>
        <w:rPr>
          <w:rFonts w:ascii="宋体" w:eastAsia="宋体" w:hAnsi="宋体" w:hint="eastAsia"/>
          <w:color w:val="000000" w:themeColor="text1"/>
        </w:rPr>
        <w:t>液氨场所应与生活区、办公区分开布置。员工宿舍不应与液氨场所设置在同一座建筑物内。</w:t>
      </w:r>
    </w:p>
    <w:p w14:paraId="19F5C7F7" w14:textId="77777777" w:rsidR="00E92C40" w:rsidRDefault="00EF02E5" w:rsidP="00180378">
      <w:pPr>
        <w:pStyle w:val="a5"/>
        <w:spacing w:beforeLines="0" w:before="0" w:afterLines="0" w:after="0"/>
        <w:ind w:left="0"/>
        <w:rPr>
          <w:rFonts w:ascii="宋体" w:eastAsia="宋体" w:hAnsi="宋体"/>
          <w:color w:val="000000" w:themeColor="text1"/>
        </w:rPr>
      </w:pPr>
      <w:r>
        <w:rPr>
          <w:rFonts w:ascii="宋体" w:eastAsia="宋体" w:hAnsi="宋体" w:hint="eastAsia"/>
          <w:color w:val="000000" w:themeColor="text1"/>
        </w:rPr>
        <w:t>用氨厂房、液氨钢瓶储存仓库、罐区与建筑物的防火间距应符合GB 50016中的火灾危险性场所与建筑物的防火间距的要求，且液氨钢瓶储存仓库、氨制冷机房、充装间的耐火等级不应低于二级。</w:t>
      </w:r>
    </w:p>
    <w:p w14:paraId="05050FB2" w14:textId="77777777" w:rsidR="00E92C40" w:rsidRDefault="00EF02E5" w:rsidP="00180378">
      <w:pPr>
        <w:pStyle w:val="a5"/>
        <w:spacing w:beforeLines="0" w:before="0" w:afterLines="0" w:after="0"/>
        <w:ind w:left="0"/>
        <w:rPr>
          <w:color w:val="000000" w:themeColor="text1"/>
        </w:rPr>
      </w:pPr>
      <w:r>
        <w:rPr>
          <w:rFonts w:ascii="宋体" w:eastAsia="宋体" w:hAnsi="宋体" w:hint="eastAsia"/>
          <w:color w:val="000000" w:themeColor="text1"/>
        </w:rPr>
        <w:t>外部安全防护距离构成液氨重大危险源的企业，应依据GB/T37243的要求，确定不同类型防护目标的外部安全防护距离是否满足风险基准的要求。</w:t>
      </w:r>
    </w:p>
    <w:p w14:paraId="2E37E5A6" w14:textId="77777777" w:rsidR="00E92C40" w:rsidRDefault="00EF02E5" w:rsidP="00180378">
      <w:pPr>
        <w:pStyle w:val="a5"/>
        <w:spacing w:beforeLines="0" w:before="0" w:afterLines="0" w:after="0"/>
        <w:ind w:left="0"/>
        <w:rPr>
          <w:color w:val="000000" w:themeColor="text1"/>
        </w:rPr>
      </w:pPr>
      <w:r>
        <w:rPr>
          <w:rFonts w:ascii="宋体" w:eastAsia="宋体" w:hAnsi="宋体" w:hint="eastAsia"/>
          <w:color w:val="000000" w:themeColor="text1"/>
        </w:rPr>
        <w:t>液氨场所的安全疏散及消防车道应按照GB50016的规定设置消防车道。</w:t>
      </w:r>
    </w:p>
    <w:p w14:paraId="3171DDCF" w14:textId="77777777" w:rsidR="00E92C40" w:rsidRDefault="00EF02E5" w:rsidP="00180378">
      <w:pPr>
        <w:pStyle w:val="a5"/>
        <w:spacing w:beforeLines="0" w:before="0" w:afterLines="0" w:after="0"/>
        <w:ind w:left="0"/>
        <w:rPr>
          <w:color w:val="000000" w:themeColor="text1"/>
        </w:rPr>
      </w:pPr>
      <w:r>
        <w:rPr>
          <w:rFonts w:ascii="宋体" w:eastAsia="宋体" w:hAnsi="宋体" w:hint="eastAsia"/>
          <w:color w:val="000000" w:themeColor="text1"/>
        </w:rPr>
        <w:t>液氨管线不应通过有人员办公、休息和居住的建筑物及人员密集场所。</w:t>
      </w:r>
    </w:p>
    <w:p w14:paraId="78571321" w14:textId="77777777" w:rsidR="00E92C40" w:rsidRDefault="00EF02E5" w:rsidP="00180378">
      <w:pPr>
        <w:pStyle w:val="aff7"/>
        <w:spacing w:beforeLines="0" w:before="0" w:afterLines="0" w:after="0"/>
        <w:rPr>
          <w:rFonts w:ascii="宋体" w:eastAsia="宋体" w:hAnsi="宋体"/>
          <w:color w:val="000000" w:themeColor="text1"/>
        </w:rPr>
      </w:pPr>
      <w:r>
        <w:rPr>
          <w:rFonts w:hint="eastAsia"/>
          <w:color w:val="000000" w:themeColor="text1"/>
        </w:rPr>
        <w:t xml:space="preserve">4.1.7  </w:t>
      </w:r>
      <w:r>
        <w:rPr>
          <w:rFonts w:ascii="宋体" w:eastAsia="宋体" w:hAnsi="宋体" w:hint="eastAsia"/>
          <w:color w:val="000000" w:themeColor="text1"/>
        </w:rPr>
        <w:t>构成重大危险源的液氨场所，应在明显位置悬挂“重大危险源安全警示牌”。</w:t>
      </w:r>
    </w:p>
    <w:p w14:paraId="3F85DD63" w14:textId="77777777" w:rsidR="00E92C40" w:rsidRDefault="00EF02E5">
      <w:pPr>
        <w:pStyle w:val="a4"/>
        <w:spacing w:line="360" w:lineRule="exact"/>
        <w:rPr>
          <w:color w:val="000000"/>
        </w:rPr>
      </w:pPr>
      <w:bookmarkStart w:id="118" w:name="_Toc81233554"/>
      <w:r>
        <w:rPr>
          <w:rFonts w:hint="eastAsia"/>
          <w:color w:val="000000"/>
        </w:rPr>
        <w:t>人员管理</w:t>
      </w:r>
      <w:bookmarkEnd w:id="118"/>
    </w:p>
    <w:p w14:paraId="0D8AF74F" w14:textId="77777777" w:rsidR="00E92C40" w:rsidRPr="00180378" w:rsidRDefault="00EF02E5" w:rsidP="00180378">
      <w:pPr>
        <w:pStyle w:val="a5"/>
        <w:spacing w:beforeLines="0" w:before="0" w:afterLines="0" w:after="0"/>
        <w:ind w:left="0"/>
        <w:rPr>
          <w:rFonts w:ascii="宋体" w:eastAsia="宋体" w:hAnsi="宋体"/>
          <w:color w:val="000000" w:themeColor="text1"/>
        </w:rPr>
      </w:pPr>
      <w:r w:rsidRPr="00180378">
        <w:rPr>
          <w:rFonts w:ascii="宋体" w:eastAsia="宋体" w:hAnsi="宋体" w:hint="eastAsia"/>
          <w:color w:val="000000" w:themeColor="text1"/>
        </w:rPr>
        <w:t>企业的主要负责人和安全生产管理人员应具备与本单位所从事的生产经营活动相应的安全生产知识和管理能力；特种设备作业人员和特种作业人员应持证上岗；其他从业人员应接受安全培训，未经安全生产培训合格的从业人员，不得上岗作业。</w:t>
      </w:r>
    </w:p>
    <w:p w14:paraId="273E4B19" w14:textId="77777777" w:rsidR="00E92C40" w:rsidRPr="00180378" w:rsidRDefault="00EF02E5" w:rsidP="00180378">
      <w:pPr>
        <w:pStyle w:val="a5"/>
        <w:spacing w:beforeLines="0" w:before="0" w:afterLines="0" w:after="0"/>
        <w:ind w:left="0"/>
        <w:rPr>
          <w:rFonts w:ascii="宋体" w:eastAsia="宋体" w:hAnsi="宋体"/>
          <w:color w:val="000000" w:themeColor="text1"/>
        </w:rPr>
      </w:pPr>
      <w:r w:rsidRPr="00180378">
        <w:rPr>
          <w:rFonts w:ascii="宋体" w:eastAsia="宋体" w:hAnsi="宋体" w:hint="eastAsia"/>
          <w:color w:val="000000" w:themeColor="text1"/>
        </w:rPr>
        <w:t>企业应配备至少</w:t>
      </w:r>
      <w:r w:rsidRPr="00180378">
        <w:rPr>
          <w:rFonts w:ascii="宋体" w:eastAsia="宋体" w:hAnsi="宋体"/>
          <w:color w:val="000000" w:themeColor="text1"/>
        </w:rPr>
        <w:t xml:space="preserve">1 </w:t>
      </w:r>
      <w:r w:rsidRPr="00180378">
        <w:rPr>
          <w:rFonts w:ascii="宋体" w:eastAsia="宋体" w:hAnsi="宋体" w:hint="eastAsia"/>
          <w:color w:val="000000" w:themeColor="text1"/>
        </w:rPr>
        <w:t>名在班液氨岗位安全生产管理人员。冷库企业的液氨岗位安全生产管理人员应具备“制冷设备维修工”或“制冷工”三级以上（含三级）的职业资格。冷库企业持特种设备作业人员证（压力容器</w:t>
      </w:r>
      <w:r w:rsidRPr="00180378">
        <w:rPr>
          <w:rFonts w:ascii="宋体" w:eastAsia="宋体" w:hAnsi="宋体"/>
          <w:color w:val="000000" w:themeColor="text1"/>
        </w:rPr>
        <w:t xml:space="preserve"> R1</w:t>
      </w:r>
      <w:r w:rsidRPr="00180378">
        <w:rPr>
          <w:rFonts w:ascii="宋体" w:eastAsia="宋体" w:hAnsi="宋体" w:hint="eastAsia"/>
          <w:color w:val="000000" w:themeColor="text1"/>
        </w:rPr>
        <w:t>）人员应不少于</w:t>
      </w:r>
      <w:r w:rsidRPr="00180378">
        <w:rPr>
          <w:rFonts w:ascii="宋体" w:eastAsia="宋体" w:hAnsi="宋体"/>
          <w:color w:val="000000" w:themeColor="text1"/>
        </w:rPr>
        <w:t xml:space="preserve"> 1</w:t>
      </w:r>
      <w:r w:rsidRPr="00180378">
        <w:rPr>
          <w:rFonts w:ascii="宋体" w:eastAsia="宋体" w:hAnsi="宋体" w:hint="eastAsia"/>
          <w:color w:val="000000" w:themeColor="text1"/>
        </w:rPr>
        <w:t>人，持“制冷设备维修工”或“制冷工”三级以上（含三级）的职业资格的特种设备操作人员应不少于</w:t>
      </w:r>
      <w:r w:rsidRPr="00180378">
        <w:rPr>
          <w:rFonts w:ascii="宋体" w:eastAsia="宋体" w:hAnsi="宋体"/>
          <w:color w:val="000000" w:themeColor="text1"/>
        </w:rPr>
        <w:t xml:space="preserve"> 1</w:t>
      </w:r>
      <w:r w:rsidRPr="00180378">
        <w:rPr>
          <w:rFonts w:ascii="宋体" w:eastAsia="宋体" w:hAnsi="宋体" w:hint="eastAsia"/>
          <w:color w:val="000000" w:themeColor="text1"/>
        </w:rPr>
        <w:t>人。</w:t>
      </w:r>
    </w:p>
    <w:p w14:paraId="1BD3B6CE" w14:textId="0D4D784D" w:rsidR="00E92C40" w:rsidRPr="00180378" w:rsidRDefault="00EF02E5" w:rsidP="00180378">
      <w:pPr>
        <w:pStyle w:val="a5"/>
        <w:spacing w:beforeLines="0" w:before="0" w:afterLines="0" w:after="0"/>
        <w:ind w:left="0"/>
        <w:rPr>
          <w:rFonts w:ascii="宋体" w:eastAsia="宋体" w:hAnsi="宋体"/>
          <w:color w:val="000000" w:themeColor="text1"/>
        </w:rPr>
      </w:pPr>
      <w:r w:rsidRPr="00180378">
        <w:rPr>
          <w:rFonts w:ascii="宋体" w:eastAsia="宋体" w:hAnsi="宋体" w:hint="eastAsia"/>
          <w:color w:val="000000" w:themeColor="text1"/>
        </w:rPr>
        <w:t>液氨储存企业新入职的主要负责人和主管生产、设备、技术、安全的负责人及安全生产管理人员必须具备化学、化工、安全等相关专业大专及以上学历或化工类中级及以上职称；构成重大危险源的液氨企业，液氨储存设施操作人员应具备高中及以上学历或化工类中等及以上职业教育水平。</w:t>
      </w:r>
    </w:p>
    <w:p w14:paraId="2418C392" w14:textId="77777777" w:rsidR="00E92C40" w:rsidRDefault="00EF02E5">
      <w:pPr>
        <w:pStyle w:val="a4"/>
        <w:rPr>
          <w:color w:val="000000"/>
        </w:rPr>
      </w:pPr>
      <w:bookmarkStart w:id="119" w:name="_Toc81233555"/>
      <w:r>
        <w:rPr>
          <w:rFonts w:hint="eastAsia"/>
          <w:color w:val="000000"/>
        </w:rPr>
        <w:t>制度管理</w:t>
      </w:r>
      <w:bookmarkEnd w:id="119"/>
    </w:p>
    <w:p w14:paraId="65137D7F" w14:textId="77777777" w:rsidR="00E92C40" w:rsidRDefault="00EF02E5" w:rsidP="00180378">
      <w:pPr>
        <w:pStyle w:val="a5"/>
        <w:spacing w:beforeLines="0" w:before="0" w:afterLines="0" w:after="0"/>
        <w:ind w:left="0"/>
        <w:rPr>
          <w:rFonts w:ascii="Times New Roman" w:eastAsia="宋体"/>
          <w:color w:val="000000"/>
          <w:kern w:val="2"/>
          <w:szCs w:val="24"/>
        </w:rPr>
      </w:pPr>
      <w:r>
        <w:rPr>
          <w:rFonts w:ascii="Times New Roman" w:eastAsia="宋体" w:hint="eastAsia"/>
          <w:color w:val="000000"/>
          <w:kern w:val="2"/>
          <w:szCs w:val="24"/>
        </w:rPr>
        <w:t>企业应建立健全安全生产规章制度和相关操作规程。</w:t>
      </w:r>
    </w:p>
    <w:p w14:paraId="37C25996" w14:textId="77777777" w:rsidR="00E92C40" w:rsidRDefault="00EF02E5" w:rsidP="00180378">
      <w:pPr>
        <w:pStyle w:val="a5"/>
        <w:spacing w:beforeLines="0" w:before="0" w:afterLines="0" w:after="0"/>
        <w:ind w:left="0"/>
        <w:rPr>
          <w:rFonts w:ascii="Times New Roman" w:eastAsia="宋体"/>
          <w:color w:val="000000"/>
          <w:kern w:val="2"/>
          <w:szCs w:val="24"/>
        </w:rPr>
      </w:pPr>
      <w:r>
        <w:rPr>
          <w:rFonts w:ascii="Times New Roman" w:eastAsia="宋体" w:hint="eastAsia"/>
          <w:color w:val="000000"/>
          <w:kern w:val="2"/>
          <w:szCs w:val="24"/>
        </w:rPr>
        <w:t>安全生产规章制度至少应包括以下内容：</w:t>
      </w:r>
    </w:p>
    <w:p w14:paraId="35F3B146" w14:textId="77777777" w:rsidR="00E92C40" w:rsidRDefault="00EF02E5" w:rsidP="00180378">
      <w:pPr>
        <w:pStyle w:val="a5"/>
        <w:numPr>
          <w:ilvl w:val="0"/>
          <w:numId w:val="24"/>
        </w:numPr>
        <w:spacing w:beforeLines="0" w:before="0" w:afterLines="0" w:after="0"/>
        <w:rPr>
          <w:rFonts w:ascii="Times New Roman" w:eastAsia="宋体"/>
          <w:color w:val="000000"/>
          <w:kern w:val="2"/>
          <w:szCs w:val="24"/>
        </w:rPr>
      </w:pPr>
      <w:r>
        <w:rPr>
          <w:rFonts w:ascii="Times New Roman" w:eastAsia="宋体" w:hint="eastAsia"/>
          <w:color w:val="000000"/>
          <w:kern w:val="2"/>
          <w:szCs w:val="24"/>
        </w:rPr>
        <w:t>安全生产责任制度；</w:t>
      </w:r>
    </w:p>
    <w:p w14:paraId="60E4A5D7" w14:textId="77777777" w:rsidR="00E92C40" w:rsidRDefault="00EF02E5" w:rsidP="00180378">
      <w:pPr>
        <w:pStyle w:val="a5"/>
        <w:numPr>
          <w:ilvl w:val="0"/>
          <w:numId w:val="24"/>
        </w:numPr>
        <w:spacing w:beforeLines="0" w:before="0" w:afterLines="0" w:after="0"/>
        <w:rPr>
          <w:rFonts w:ascii="Times New Roman" w:eastAsia="宋体"/>
          <w:color w:val="000000"/>
          <w:kern w:val="2"/>
          <w:szCs w:val="24"/>
        </w:rPr>
      </w:pPr>
      <w:r>
        <w:rPr>
          <w:rFonts w:ascii="Times New Roman" w:eastAsia="宋体" w:hint="eastAsia"/>
          <w:color w:val="000000"/>
          <w:kern w:val="2"/>
          <w:szCs w:val="24"/>
        </w:rPr>
        <w:t>安全生产例会制度；</w:t>
      </w:r>
    </w:p>
    <w:p w14:paraId="3EBB1A06" w14:textId="77777777" w:rsidR="00E92C40" w:rsidRDefault="00EF02E5" w:rsidP="00180378">
      <w:pPr>
        <w:pStyle w:val="a5"/>
        <w:numPr>
          <w:ilvl w:val="0"/>
          <w:numId w:val="24"/>
        </w:numPr>
        <w:spacing w:beforeLines="0" w:before="0" w:afterLines="0" w:after="0"/>
        <w:rPr>
          <w:rFonts w:ascii="Times New Roman" w:eastAsia="宋体"/>
          <w:color w:val="000000"/>
          <w:kern w:val="2"/>
          <w:szCs w:val="24"/>
        </w:rPr>
      </w:pPr>
      <w:r>
        <w:rPr>
          <w:rFonts w:ascii="Times New Roman" w:eastAsia="宋体" w:hint="eastAsia"/>
          <w:color w:val="000000"/>
          <w:kern w:val="2"/>
          <w:szCs w:val="24"/>
        </w:rPr>
        <w:t>安全生产教育和培训制度；</w:t>
      </w:r>
    </w:p>
    <w:p w14:paraId="2AE227C1" w14:textId="77777777" w:rsidR="00E92C40" w:rsidRDefault="00EF02E5" w:rsidP="00180378">
      <w:pPr>
        <w:pStyle w:val="a5"/>
        <w:numPr>
          <w:ilvl w:val="0"/>
          <w:numId w:val="24"/>
        </w:numPr>
        <w:spacing w:beforeLines="0" w:before="0" w:afterLines="0" w:after="0"/>
        <w:rPr>
          <w:rFonts w:ascii="Times New Roman" w:eastAsia="宋体"/>
          <w:color w:val="000000"/>
          <w:kern w:val="2"/>
          <w:szCs w:val="24"/>
        </w:rPr>
      </w:pPr>
      <w:r>
        <w:rPr>
          <w:rFonts w:ascii="Times New Roman" w:eastAsia="宋体" w:hint="eastAsia"/>
          <w:color w:val="000000"/>
          <w:kern w:val="2"/>
          <w:szCs w:val="24"/>
        </w:rPr>
        <w:t>安全检查管理制度；</w:t>
      </w:r>
    </w:p>
    <w:p w14:paraId="411BED35" w14:textId="77777777" w:rsidR="00E92C40" w:rsidRDefault="00EF02E5" w:rsidP="00180378">
      <w:pPr>
        <w:pStyle w:val="a5"/>
        <w:numPr>
          <w:ilvl w:val="0"/>
          <w:numId w:val="24"/>
        </w:numPr>
        <w:spacing w:beforeLines="0" w:before="0" w:afterLines="0" w:after="0"/>
        <w:rPr>
          <w:rFonts w:ascii="Times New Roman" w:eastAsia="宋体"/>
          <w:color w:val="000000"/>
          <w:kern w:val="2"/>
          <w:szCs w:val="24"/>
        </w:rPr>
      </w:pPr>
      <w:r>
        <w:rPr>
          <w:rFonts w:ascii="Times New Roman" w:eastAsia="宋体" w:hint="eastAsia"/>
          <w:color w:val="000000"/>
          <w:kern w:val="2"/>
          <w:szCs w:val="24"/>
        </w:rPr>
        <w:t>设备设施（含特种设备）安全管理制度；</w:t>
      </w:r>
    </w:p>
    <w:p w14:paraId="6767D8C7" w14:textId="77777777" w:rsidR="00E92C40" w:rsidRDefault="00EF02E5" w:rsidP="00180378">
      <w:pPr>
        <w:pStyle w:val="a5"/>
        <w:numPr>
          <w:ilvl w:val="0"/>
          <w:numId w:val="24"/>
        </w:numPr>
        <w:spacing w:beforeLines="0" w:before="0" w:afterLines="0" w:after="0"/>
        <w:rPr>
          <w:rFonts w:ascii="Times New Roman" w:eastAsia="宋体"/>
          <w:color w:val="000000"/>
          <w:kern w:val="2"/>
          <w:szCs w:val="24"/>
        </w:rPr>
      </w:pPr>
      <w:r>
        <w:rPr>
          <w:rFonts w:ascii="Times New Roman" w:eastAsia="宋体" w:hint="eastAsia"/>
          <w:color w:val="000000"/>
          <w:kern w:val="2"/>
          <w:szCs w:val="24"/>
        </w:rPr>
        <w:t>检维修管理制度；</w:t>
      </w:r>
    </w:p>
    <w:p w14:paraId="15F431EC" w14:textId="77777777" w:rsidR="00E92C40" w:rsidRDefault="00EF02E5" w:rsidP="00180378">
      <w:pPr>
        <w:pStyle w:val="a5"/>
        <w:numPr>
          <w:ilvl w:val="0"/>
          <w:numId w:val="24"/>
        </w:numPr>
        <w:spacing w:beforeLines="0" w:before="0" w:afterLines="0" w:after="0"/>
        <w:rPr>
          <w:rFonts w:ascii="Times New Roman" w:eastAsia="宋体"/>
          <w:color w:val="000000"/>
          <w:kern w:val="2"/>
          <w:szCs w:val="24"/>
        </w:rPr>
      </w:pPr>
      <w:r>
        <w:rPr>
          <w:rFonts w:ascii="Times New Roman" w:eastAsia="宋体" w:hint="eastAsia"/>
          <w:color w:val="000000"/>
          <w:kern w:val="2"/>
          <w:szCs w:val="24"/>
        </w:rPr>
        <w:t>生产安全事故隐患排查治理制度；</w:t>
      </w:r>
    </w:p>
    <w:p w14:paraId="542BE63A" w14:textId="77777777" w:rsidR="00E92C40" w:rsidRDefault="00EF02E5" w:rsidP="00180378">
      <w:pPr>
        <w:pStyle w:val="a5"/>
        <w:numPr>
          <w:ilvl w:val="0"/>
          <w:numId w:val="24"/>
        </w:numPr>
        <w:spacing w:beforeLines="0" w:before="0" w:afterLines="0" w:after="0"/>
        <w:rPr>
          <w:rFonts w:ascii="Times New Roman" w:eastAsia="宋体"/>
          <w:color w:val="000000"/>
          <w:kern w:val="2"/>
          <w:szCs w:val="24"/>
        </w:rPr>
      </w:pPr>
      <w:r>
        <w:rPr>
          <w:rFonts w:ascii="Times New Roman" w:eastAsia="宋体" w:hint="eastAsia"/>
          <w:color w:val="000000"/>
          <w:kern w:val="2"/>
          <w:szCs w:val="24"/>
        </w:rPr>
        <w:t>灭火器材、防护器材、劳保用品配备和管理制度；</w:t>
      </w:r>
    </w:p>
    <w:p w14:paraId="332C2174" w14:textId="77777777" w:rsidR="00E92C40" w:rsidRDefault="00EF02E5" w:rsidP="00180378">
      <w:pPr>
        <w:pStyle w:val="a5"/>
        <w:numPr>
          <w:ilvl w:val="0"/>
          <w:numId w:val="24"/>
        </w:numPr>
        <w:spacing w:beforeLines="0" w:before="0" w:afterLines="0" w:after="0"/>
        <w:rPr>
          <w:rFonts w:ascii="Times New Roman" w:eastAsia="宋体"/>
          <w:color w:val="000000"/>
          <w:kern w:val="2"/>
          <w:szCs w:val="24"/>
        </w:rPr>
      </w:pPr>
      <w:r>
        <w:rPr>
          <w:rFonts w:ascii="Times New Roman" w:eastAsia="宋体" w:hint="eastAsia"/>
          <w:color w:val="000000"/>
          <w:kern w:val="2"/>
          <w:szCs w:val="24"/>
        </w:rPr>
        <w:t>作业环境氨浓度检测制度；</w:t>
      </w:r>
    </w:p>
    <w:p w14:paraId="3F0C2593" w14:textId="77777777" w:rsidR="00E92C40" w:rsidRDefault="00EF02E5" w:rsidP="00180378">
      <w:pPr>
        <w:pStyle w:val="a5"/>
        <w:numPr>
          <w:ilvl w:val="0"/>
          <w:numId w:val="24"/>
        </w:numPr>
        <w:tabs>
          <w:tab w:val="clear" w:pos="780"/>
          <w:tab w:val="num" w:pos="735"/>
        </w:tabs>
        <w:spacing w:beforeLines="0" w:before="0" w:afterLines="0" w:after="0"/>
        <w:ind w:left="840" w:hanging="420"/>
        <w:rPr>
          <w:rFonts w:ascii="Times New Roman" w:eastAsia="宋体"/>
          <w:color w:val="000000"/>
          <w:kern w:val="2"/>
          <w:szCs w:val="24"/>
        </w:rPr>
      </w:pPr>
      <w:r>
        <w:rPr>
          <w:rFonts w:ascii="Times New Roman" w:eastAsia="宋体" w:hint="eastAsia"/>
          <w:color w:val="000000"/>
          <w:kern w:val="2"/>
          <w:szCs w:val="24"/>
        </w:rPr>
        <w:t>用电管理制度；</w:t>
      </w:r>
    </w:p>
    <w:p w14:paraId="500A485A" w14:textId="77777777" w:rsidR="00E92C40" w:rsidRDefault="00EF02E5" w:rsidP="00180378">
      <w:pPr>
        <w:pStyle w:val="a5"/>
        <w:numPr>
          <w:ilvl w:val="0"/>
          <w:numId w:val="24"/>
        </w:numPr>
        <w:tabs>
          <w:tab w:val="num" w:pos="945"/>
        </w:tabs>
        <w:spacing w:beforeLines="0" w:before="0" w:afterLines="0" w:after="0"/>
        <w:rPr>
          <w:rFonts w:ascii="Times New Roman" w:eastAsia="宋体"/>
          <w:color w:val="000000"/>
          <w:kern w:val="2"/>
          <w:szCs w:val="24"/>
        </w:rPr>
      </w:pPr>
      <w:r>
        <w:rPr>
          <w:rFonts w:ascii="Times New Roman" w:eastAsia="宋体" w:hint="eastAsia"/>
          <w:color w:val="000000"/>
          <w:kern w:val="2"/>
          <w:szCs w:val="24"/>
        </w:rPr>
        <w:t>安全作业管理制度；</w:t>
      </w:r>
    </w:p>
    <w:p w14:paraId="35867744" w14:textId="77777777" w:rsidR="00E92C40" w:rsidRDefault="00EF02E5" w:rsidP="00180378">
      <w:pPr>
        <w:pStyle w:val="a5"/>
        <w:numPr>
          <w:ilvl w:val="0"/>
          <w:numId w:val="24"/>
        </w:numPr>
        <w:tabs>
          <w:tab w:val="num" w:pos="945"/>
        </w:tabs>
        <w:spacing w:beforeLines="0" w:before="0" w:afterLines="0" w:after="0"/>
        <w:rPr>
          <w:rFonts w:ascii="Times New Roman" w:eastAsia="宋体"/>
          <w:color w:val="000000"/>
          <w:kern w:val="2"/>
          <w:szCs w:val="24"/>
        </w:rPr>
      </w:pPr>
      <w:r>
        <w:rPr>
          <w:rFonts w:ascii="Times New Roman" w:eastAsia="宋体" w:hint="eastAsia"/>
          <w:color w:val="000000"/>
          <w:kern w:val="2"/>
          <w:szCs w:val="24"/>
        </w:rPr>
        <w:t>安全费用投入保障制度；</w:t>
      </w:r>
    </w:p>
    <w:p w14:paraId="029A4BFD" w14:textId="77777777" w:rsidR="00E92C40" w:rsidRDefault="00EF02E5" w:rsidP="00180378">
      <w:pPr>
        <w:pStyle w:val="a5"/>
        <w:numPr>
          <w:ilvl w:val="0"/>
          <w:numId w:val="24"/>
        </w:numPr>
        <w:tabs>
          <w:tab w:val="num" w:pos="945"/>
        </w:tabs>
        <w:spacing w:beforeLines="0" w:before="0" w:afterLines="0" w:after="0"/>
        <w:rPr>
          <w:rFonts w:ascii="Times New Roman" w:eastAsia="宋体"/>
          <w:color w:val="000000"/>
          <w:kern w:val="2"/>
          <w:szCs w:val="24"/>
        </w:rPr>
      </w:pPr>
      <w:r>
        <w:rPr>
          <w:rFonts w:ascii="Times New Roman" w:eastAsia="宋体" w:hint="eastAsia"/>
          <w:color w:val="000000"/>
          <w:kern w:val="2"/>
          <w:szCs w:val="24"/>
        </w:rPr>
        <w:t>安全生产奖励和惩罚制度；</w:t>
      </w:r>
    </w:p>
    <w:p w14:paraId="7461EC0B" w14:textId="77777777" w:rsidR="00E92C40" w:rsidRDefault="00EF02E5" w:rsidP="00180378">
      <w:pPr>
        <w:pStyle w:val="a5"/>
        <w:numPr>
          <w:ilvl w:val="0"/>
          <w:numId w:val="24"/>
        </w:numPr>
        <w:tabs>
          <w:tab w:val="num" w:pos="945"/>
        </w:tabs>
        <w:spacing w:beforeLines="0" w:before="0" w:afterLines="0" w:after="0"/>
        <w:rPr>
          <w:rFonts w:ascii="Times New Roman" w:eastAsia="宋体"/>
          <w:color w:val="000000"/>
          <w:kern w:val="2"/>
          <w:szCs w:val="24"/>
        </w:rPr>
      </w:pPr>
      <w:r>
        <w:rPr>
          <w:rFonts w:ascii="Times New Roman" w:eastAsia="宋体" w:hint="eastAsia"/>
          <w:color w:val="000000"/>
          <w:kern w:val="2"/>
          <w:szCs w:val="24"/>
        </w:rPr>
        <w:t>应急管理制度；</w:t>
      </w:r>
    </w:p>
    <w:p w14:paraId="6BA9589C" w14:textId="77777777" w:rsidR="00E92C40" w:rsidRDefault="00EF02E5" w:rsidP="00180378">
      <w:pPr>
        <w:pStyle w:val="a5"/>
        <w:numPr>
          <w:ilvl w:val="0"/>
          <w:numId w:val="24"/>
        </w:numPr>
        <w:tabs>
          <w:tab w:val="num" w:pos="945"/>
        </w:tabs>
        <w:spacing w:beforeLines="0" w:before="0" w:afterLines="0" w:after="0"/>
        <w:rPr>
          <w:rFonts w:ascii="Times New Roman" w:eastAsia="宋体"/>
          <w:color w:val="000000"/>
          <w:kern w:val="2"/>
          <w:szCs w:val="24"/>
        </w:rPr>
      </w:pPr>
      <w:r>
        <w:rPr>
          <w:rFonts w:ascii="Times New Roman" w:eastAsia="宋体" w:hint="eastAsia"/>
          <w:color w:val="000000"/>
          <w:kern w:val="2"/>
          <w:szCs w:val="24"/>
        </w:rPr>
        <w:t>生产安全事故报告和调查处理制度。</w:t>
      </w:r>
    </w:p>
    <w:p w14:paraId="5AB937C1" w14:textId="77777777" w:rsidR="00E92C40" w:rsidRDefault="00EF02E5" w:rsidP="00180378">
      <w:pPr>
        <w:pStyle w:val="a5"/>
        <w:spacing w:beforeLines="0" w:before="0" w:afterLines="0" w:after="0"/>
        <w:ind w:left="0"/>
        <w:rPr>
          <w:rFonts w:ascii="Times New Roman" w:eastAsia="宋体"/>
          <w:color w:val="000000" w:themeColor="text1"/>
          <w:kern w:val="2"/>
          <w:szCs w:val="24"/>
        </w:rPr>
      </w:pPr>
      <w:r>
        <w:rPr>
          <w:rFonts w:ascii="Times New Roman" w:eastAsia="宋体" w:hint="eastAsia"/>
          <w:color w:val="000000"/>
          <w:kern w:val="2"/>
          <w:szCs w:val="24"/>
        </w:rPr>
        <w:lastRenderedPageBreak/>
        <w:t>安全生产</w:t>
      </w:r>
      <w:r>
        <w:rPr>
          <w:rFonts w:ascii="Times New Roman" w:eastAsia="宋体" w:hint="eastAsia"/>
          <w:color w:val="000000" w:themeColor="text1"/>
          <w:kern w:val="2"/>
          <w:szCs w:val="24"/>
        </w:rPr>
        <w:t>规章制度、安全操作规程的评审和修订周期不超过</w:t>
      </w:r>
      <w:r>
        <w:rPr>
          <w:rFonts w:ascii="Times New Roman" w:eastAsia="宋体" w:hint="eastAsia"/>
          <w:color w:val="000000" w:themeColor="text1"/>
          <w:kern w:val="2"/>
          <w:szCs w:val="24"/>
        </w:rPr>
        <w:t>3</w:t>
      </w:r>
      <w:r>
        <w:rPr>
          <w:rFonts w:ascii="Times New Roman" w:eastAsia="宋体" w:hint="eastAsia"/>
          <w:color w:val="000000" w:themeColor="text1"/>
          <w:kern w:val="2"/>
          <w:szCs w:val="24"/>
        </w:rPr>
        <w:t>年，发生重大变更应及时修订。</w:t>
      </w:r>
    </w:p>
    <w:p w14:paraId="0E9CD44A" w14:textId="77777777" w:rsidR="00E92C40" w:rsidRDefault="00EF02E5" w:rsidP="00180378">
      <w:pPr>
        <w:pStyle w:val="a5"/>
        <w:spacing w:beforeLines="0" w:before="0" w:afterLines="0" w:after="0"/>
        <w:ind w:left="0"/>
        <w:rPr>
          <w:rFonts w:ascii="Times New Roman" w:eastAsia="宋体"/>
          <w:color w:val="000000" w:themeColor="text1"/>
          <w:kern w:val="2"/>
          <w:szCs w:val="24"/>
        </w:rPr>
      </w:pPr>
      <w:r>
        <w:rPr>
          <w:rFonts w:ascii="Times New Roman" w:eastAsia="宋体" w:hint="eastAsia"/>
          <w:color w:val="000000" w:themeColor="text1"/>
          <w:kern w:val="2"/>
          <w:szCs w:val="24"/>
        </w:rPr>
        <w:t>企业应按照</w:t>
      </w:r>
      <w:r>
        <w:rPr>
          <w:rFonts w:ascii="Times New Roman" w:eastAsia="宋体" w:hint="eastAsia"/>
          <w:color w:val="000000" w:themeColor="text1"/>
          <w:kern w:val="2"/>
          <w:szCs w:val="24"/>
        </w:rPr>
        <w:t>GB/T 29639</w:t>
      </w:r>
      <w:r>
        <w:rPr>
          <w:rFonts w:ascii="Times New Roman" w:eastAsia="宋体" w:hint="eastAsia"/>
          <w:color w:val="000000" w:themeColor="text1"/>
          <w:kern w:val="2"/>
          <w:szCs w:val="24"/>
        </w:rPr>
        <w:t>的要求编制综合、专项应急预案，并应针对氨泄漏、火灾、断水等多发事故风险，制定现场处置方案。构成重大危险源的企业应编制重大危险源专项预案。每年至少组织一次综合应急预案演练或者专项应急预案演练，每半年至少组织一次现场处置方案演练，并留存演练记录。</w:t>
      </w:r>
    </w:p>
    <w:p w14:paraId="3188C0F3" w14:textId="77777777" w:rsidR="00E92C40" w:rsidRDefault="00EF02E5" w:rsidP="00180378">
      <w:pPr>
        <w:pStyle w:val="aff7"/>
        <w:spacing w:beforeLines="0" w:before="0" w:afterLines="0" w:after="0"/>
        <w:rPr>
          <w:rFonts w:ascii="Times New Roman" w:eastAsia="宋体"/>
          <w:color w:val="000000" w:themeColor="text1"/>
          <w:kern w:val="2"/>
          <w:szCs w:val="24"/>
        </w:rPr>
      </w:pPr>
      <w:smartTag w:uri="urn:schemas-microsoft-com:office:smarttags" w:element="chsdate">
        <w:smartTagPr>
          <w:attr w:name="Year" w:val="1899"/>
          <w:attr w:name="Month" w:val="12"/>
          <w:attr w:name="Day" w:val="30"/>
          <w:attr w:name="IsLunarDate" w:val="False"/>
          <w:attr w:name="IsROCDate" w:val="False"/>
        </w:smartTagPr>
        <w:r>
          <w:rPr>
            <w:rFonts w:hint="eastAsia"/>
            <w:color w:val="000000" w:themeColor="text1"/>
          </w:rPr>
          <w:t xml:space="preserve">4.3.5  </w:t>
        </w:r>
      </w:smartTag>
      <w:r>
        <w:rPr>
          <w:rFonts w:ascii="Times New Roman" w:eastAsia="宋体" w:hint="eastAsia"/>
          <w:color w:val="000000" w:themeColor="text1"/>
          <w:kern w:val="2"/>
          <w:szCs w:val="24"/>
        </w:rPr>
        <w:t>企业应按照</w:t>
      </w:r>
      <w:r>
        <w:rPr>
          <w:rFonts w:ascii="Times New Roman" w:eastAsia="宋体" w:hint="eastAsia"/>
          <w:color w:val="000000" w:themeColor="text1"/>
          <w:kern w:val="2"/>
          <w:szCs w:val="24"/>
        </w:rPr>
        <w:t>GB 30077</w:t>
      </w:r>
      <w:r>
        <w:rPr>
          <w:rFonts w:ascii="Times New Roman" w:eastAsia="宋体" w:hint="eastAsia"/>
          <w:color w:val="000000" w:themeColor="text1"/>
          <w:kern w:val="2"/>
          <w:szCs w:val="24"/>
        </w:rPr>
        <w:t>的要求，建立专（兼）职应急救援队伍或与邻近专职救援队签订救援协议，配备必要的、完好的应急装备、物资，并由专人负责保养和维护。</w:t>
      </w:r>
    </w:p>
    <w:p w14:paraId="665EE83E" w14:textId="77777777" w:rsidR="00E92C40" w:rsidRDefault="00EF02E5" w:rsidP="00BE6078">
      <w:pPr>
        <w:pStyle w:val="aff3"/>
        <w:ind w:firstLineChars="0" w:firstLine="0"/>
        <w:rPr>
          <w:color w:val="000000" w:themeColor="text1"/>
        </w:rPr>
      </w:pPr>
      <w:r>
        <w:rPr>
          <w:rFonts w:ascii="黑体" w:eastAsia="黑体" w:hAnsi="黑体" w:hint="eastAsia"/>
          <w:color w:val="000000" w:themeColor="text1"/>
        </w:rPr>
        <w:t>4.3.6</w:t>
      </w:r>
      <w:r>
        <w:rPr>
          <w:rFonts w:hint="eastAsia"/>
          <w:color w:val="000000" w:themeColor="text1"/>
        </w:rPr>
        <w:t xml:space="preserve">  企业应推进安全生产标准化建设。</w:t>
      </w:r>
    </w:p>
    <w:p w14:paraId="620074AE" w14:textId="77777777" w:rsidR="00E92C40" w:rsidRDefault="00EF02E5">
      <w:pPr>
        <w:pStyle w:val="a4"/>
        <w:rPr>
          <w:color w:val="000000"/>
        </w:rPr>
      </w:pPr>
      <w:bookmarkStart w:id="120" w:name="_Toc81233556"/>
      <w:r>
        <w:rPr>
          <w:rFonts w:hint="eastAsia"/>
          <w:color w:val="000000"/>
        </w:rPr>
        <w:t>设备设施要求</w:t>
      </w:r>
      <w:bookmarkEnd w:id="120"/>
    </w:p>
    <w:p w14:paraId="46890F1A" w14:textId="77777777" w:rsidR="00E92C40" w:rsidRDefault="00EF02E5" w:rsidP="00D5787F">
      <w:pPr>
        <w:pStyle w:val="a5"/>
        <w:spacing w:before="156" w:after="156"/>
        <w:ind w:left="0"/>
        <w:rPr>
          <w:color w:val="000000"/>
        </w:rPr>
      </w:pPr>
      <w:r>
        <w:rPr>
          <w:rFonts w:hint="eastAsia"/>
          <w:color w:val="000000"/>
        </w:rPr>
        <w:t>设备</w:t>
      </w:r>
    </w:p>
    <w:p w14:paraId="131534C3" w14:textId="77777777" w:rsidR="00E92C40" w:rsidRDefault="00EF02E5">
      <w:pPr>
        <w:pStyle w:val="3"/>
        <w:ind w:left="0"/>
        <w:rPr>
          <w:color w:val="000000"/>
        </w:rPr>
      </w:pPr>
      <w:r>
        <w:rPr>
          <w:rFonts w:hint="eastAsia"/>
          <w:color w:val="000000"/>
        </w:rPr>
        <w:t>液氨场所应设置风向标。风向标应设在液氨场所内人员容易看到的高处。</w:t>
      </w:r>
    </w:p>
    <w:p w14:paraId="2F95C7ED" w14:textId="77777777" w:rsidR="00E92C40" w:rsidRDefault="00EF02E5">
      <w:pPr>
        <w:pStyle w:val="3"/>
        <w:ind w:left="0"/>
        <w:rPr>
          <w:color w:val="000000" w:themeColor="text1"/>
        </w:rPr>
      </w:pPr>
      <w:r>
        <w:rPr>
          <w:rFonts w:hint="eastAsia"/>
          <w:color w:val="000000"/>
        </w:rPr>
        <w:t>企业应针对漏氨重点部位，特别是管道法兰、阀门法兰和设备法兰等，制定检修维护计划，并建立相应</w:t>
      </w:r>
      <w:r>
        <w:rPr>
          <w:rFonts w:hint="eastAsia"/>
          <w:color w:val="000000" w:themeColor="text1"/>
        </w:rPr>
        <w:t>记录。记录中应明确检查部位、方法、人员、周期等内容。</w:t>
      </w:r>
    </w:p>
    <w:p w14:paraId="20239396" w14:textId="77777777" w:rsidR="00E92C40" w:rsidRDefault="00EF02E5">
      <w:pPr>
        <w:pStyle w:val="3"/>
        <w:ind w:left="0"/>
        <w:rPr>
          <w:color w:val="000000" w:themeColor="text1"/>
        </w:rPr>
      </w:pPr>
      <w:r>
        <w:rPr>
          <w:rFonts w:hint="eastAsia"/>
          <w:color w:val="000000" w:themeColor="text1"/>
        </w:rPr>
        <w:t>企业应依法办理压力容器和压力管道等特种设备的使用登记，压力容器、压力管道、安全附件（压力表、安全阀等）等应由具有相关资质的检验机构定期校验，并出具有效检测合格报告，不具备有效检测合格报告和不符合安全生产条件的设备设施不应使用并及时更换。</w:t>
      </w:r>
    </w:p>
    <w:p w14:paraId="0FE195B8" w14:textId="77777777" w:rsidR="00E92C40" w:rsidRDefault="00EF02E5">
      <w:pPr>
        <w:pStyle w:val="3"/>
        <w:ind w:left="0"/>
        <w:rPr>
          <w:color w:val="000000" w:themeColor="text1"/>
        </w:rPr>
      </w:pPr>
      <w:r>
        <w:rPr>
          <w:rFonts w:hint="eastAsia"/>
          <w:color w:val="000000" w:themeColor="text1"/>
        </w:rPr>
        <w:t>包装间、分割间、产品整理间等人员较多生产场所的空调系统不应采用氨直接蒸发制冷系统。</w:t>
      </w:r>
    </w:p>
    <w:p w14:paraId="5C397E79" w14:textId="77777777" w:rsidR="00E92C40" w:rsidRDefault="00EF02E5">
      <w:pPr>
        <w:pStyle w:val="3"/>
        <w:ind w:left="0"/>
        <w:rPr>
          <w:color w:val="000000" w:themeColor="text1"/>
        </w:rPr>
      </w:pPr>
      <w:r>
        <w:rPr>
          <w:rFonts w:hint="eastAsia"/>
          <w:color w:val="000000" w:themeColor="text1"/>
        </w:rPr>
        <w:t>氨制冷系统用阀门应采用专用钢制阀门，不应使用灰铸铁阀门。</w:t>
      </w:r>
    </w:p>
    <w:p w14:paraId="24B5BE80" w14:textId="77777777" w:rsidR="00E92C40" w:rsidRDefault="00EF02E5">
      <w:pPr>
        <w:pStyle w:val="3"/>
        <w:ind w:left="0"/>
        <w:rPr>
          <w:color w:val="000000" w:themeColor="text1"/>
        </w:rPr>
      </w:pPr>
      <w:r>
        <w:rPr>
          <w:rFonts w:hint="eastAsia"/>
          <w:color w:val="000000" w:themeColor="text1"/>
        </w:rPr>
        <w:t>液氨场所应按照</w:t>
      </w:r>
      <w:r>
        <w:rPr>
          <w:rFonts w:hint="eastAsia"/>
          <w:color w:val="000000" w:themeColor="text1"/>
        </w:rPr>
        <w:t xml:space="preserve"> GB 2893</w:t>
      </w:r>
      <w:r>
        <w:rPr>
          <w:rFonts w:hint="eastAsia"/>
          <w:color w:val="000000" w:themeColor="text1"/>
        </w:rPr>
        <w:t>、</w:t>
      </w:r>
      <w:r>
        <w:rPr>
          <w:rFonts w:hint="eastAsia"/>
          <w:color w:val="000000" w:themeColor="text1"/>
        </w:rPr>
        <w:t>GB 2894</w:t>
      </w:r>
      <w:r>
        <w:rPr>
          <w:rFonts w:hint="eastAsia"/>
          <w:color w:val="000000" w:themeColor="text1"/>
        </w:rPr>
        <w:t>、</w:t>
      </w:r>
      <w:r>
        <w:rPr>
          <w:rFonts w:hint="eastAsia"/>
          <w:color w:val="000000" w:themeColor="text1"/>
        </w:rPr>
        <w:t>GB 7231</w:t>
      </w:r>
      <w:r>
        <w:rPr>
          <w:rFonts w:hint="eastAsia"/>
          <w:color w:val="000000" w:themeColor="text1"/>
        </w:rPr>
        <w:t>、</w:t>
      </w:r>
      <w:r>
        <w:rPr>
          <w:rFonts w:hint="eastAsia"/>
          <w:color w:val="000000" w:themeColor="text1"/>
        </w:rPr>
        <w:t>GBZ 158</w:t>
      </w:r>
      <w:r>
        <w:rPr>
          <w:rFonts w:hint="eastAsia"/>
          <w:color w:val="000000" w:themeColor="text1"/>
        </w:rPr>
        <w:t>、</w:t>
      </w:r>
      <w:r>
        <w:rPr>
          <w:rFonts w:hint="eastAsia"/>
          <w:color w:val="000000" w:themeColor="text1"/>
        </w:rPr>
        <w:t xml:space="preserve">SBJ12 </w:t>
      </w:r>
      <w:r>
        <w:rPr>
          <w:rFonts w:hint="eastAsia"/>
          <w:color w:val="000000" w:themeColor="text1"/>
        </w:rPr>
        <w:t>的要求，设置相应的安全标识。制冷设备和管道应按照</w:t>
      </w:r>
      <w:r>
        <w:rPr>
          <w:rFonts w:hint="eastAsia"/>
          <w:color w:val="000000" w:themeColor="text1"/>
        </w:rPr>
        <w:t xml:space="preserve"> GB 2893 </w:t>
      </w:r>
      <w:r>
        <w:rPr>
          <w:rFonts w:hint="eastAsia"/>
          <w:color w:val="000000" w:themeColor="text1"/>
        </w:rPr>
        <w:t>和</w:t>
      </w:r>
      <w:r>
        <w:rPr>
          <w:rFonts w:hint="eastAsia"/>
          <w:color w:val="000000" w:themeColor="text1"/>
        </w:rPr>
        <w:t xml:space="preserve"> SBJ 12 </w:t>
      </w:r>
      <w:r>
        <w:rPr>
          <w:rFonts w:hint="eastAsia"/>
          <w:color w:val="000000" w:themeColor="text1"/>
        </w:rPr>
        <w:t>的要求涂刷色漆或粘贴色标，并标注设备和管道内介质类别和流向等。</w:t>
      </w:r>
    </w:p>
    <w:p w14:paraId="6B5A0678" w14:textId="77777777" w:rsidR="00E92C40" w:rsidRDefault="00EF02E5">
      <w:pPr>
        <w:pStyle w:val="3"/>
        <w:ind w:left="0"/>
        <w:rPr>
          <w:color w:val="000000" w:themeColor="text1"/>
        </w:rPr>
      </w:pPr>
      <w:r>
        <w:rPr>
          <w:rFonts w:hint="eastAsia"/>
          <w:color w:val="000000" w:themeColor="text1"/>
        </w:rPr>
        <w:t>液氨场所应当设置黄色区域警示线和中文警示说明，警示说明应当载明产生职业危害的种类、后果、预防以及应急救治措施等内容，并公布工作场所职业病危害因素检测结果。重点岗位应张贴安全操作规程，并设置便于携带的应急处置卡，明确发生泄漏、火灾、中毒事故的应急处置措施和人员防护措施。</w:t>
      </w:r>
    </w:p>
    <w:p w14:paraId="77B71EDA" w14:textId="77777777" w:rsidR="00E92C40" w:rsidRDefault="00EF02E5">
      <w:pPr>
        <w:pStyle w:val="3"/>
        <w:ind w:left="0"/>
        <w:rPr>
          <w:color w:val="000000"/>
        </w:rPr>
      </w:pPr>
      <w:r>
        <w:rPr>
          <w:rFonts w:hint="eastAsia"/>
          <w:color w:val="000000"/>
        </w:rPr>
        <w:t>液氨场所的控制室或值班室应配备有效的应急通讯器材和应急抢修防爆工具。</w:t>
      </w:r>
    </w:p>
    <w:p w14:paraId="47279BBD" w14:textId="77777777" w:rsidR="00E92C40" w:rsidRDefault="00EF02E5">
      <w:pPr>
        <w:pStyle w:val="3"/>
        <w:ind w:left="0"/>
        <w:rPr>
          <w:color w:val="000000"/>
        </w:rPr>
      </w:pPr>
      <w:r>
        <w:rPr>
          <w:rFonts w:hint="eastAsia"/>
          <w:color w:val="000000"/>
        </w:rPr>
        <w:t>液氨场所配置的灭火器数量和类型应符合</w:t>
      </w:r>
      <w:r>
        <w:rPr>
          <w:rFonts w:hint="eastAsia"/>
          <w:color w:val="000000"/>
        </w:rPr>
        <w:t>GB 50140</w:t>
      </w:r>
      <w:r>
        <w:rPr>
          <w:rFonts w:hint="eastAsia"/>
          <w:color w:val="000000"/>
        </w:rPr>
        <w:t>的有关要求，并确保灭火器在有效期内。</w:t>
      </w:r>
    </w:p>
    <w:p w14:paraId="558E75F4" w14:textId="77777777" w:rsidR="00E92C40" w:rsidRDefault="00EF02E5">
      <w:pPr>
        <w:pStyle w:val="3"/>
        <w:ind w:left="0"/>
      </w:pPr>
      <w:r>
        <w:rPr>
          <w:rFonts w:hint="eastAsia"/>
        </w:rPr>
        <w:t>液氨场所应设置符合</w:t>
      </w:r>
      <w:r>
        <w:rPr>
          <w:rFonts w:hint="eastAsia"/>
        </w:rPr>
        <w:t>GB 50057</w:t>
      </w:r>
      <w:r>
        <w:rPr>
          <w:rFonts w:hint="eastAsia"/>
        </w:rPr>
        <w:t>规定的防雷装置。</w:t>
      </w:r>
    </w:p>
    <w:p w14:paraId="554FF8BE" w14:textId="0A1DFCBB" w:rsidR="00E92C40" w:rsidRPr="00180378" w:rsidRDefault="00EF02E5" w:rsidP="00180378">
      <w:pPr>
        <w:pStyle w:val="a5"/>
        <w:numPr>
          <w:ilvl w:val="0"/>
          <w:numId w:val="35"/>
        </w:numPr>
        <w:spacing w:beforeLines="0" w:before="0" w:afterLines="0" w:after="0"/>
        <w:rPr>
          <w:color w:val="000000"/>
        </w:rPr>
      </w:pPr>
      <w:r w:rsidRPr="00180378">
        <w:rPr>
          <w:rFonts w:ascii="Times New Roman" w:eastAsia="宋体" w:hint="eastAsia"/>
          <w:color w:val="000000"/>
          <w:kern w:val="2"/>
          <w:szCs w:val="24"/>
        </w:rPr>
        <w:t>非冷库液氨场所的液氨储罐、充装系统管道、阀门等金属设备设施应设置符合</w:t>
      </w:r>
      <w:r w:rsidRPr="00180378">
        <w:rPr>
          <w:rFonts w:ascii="Times New Roman" w:eastAsia="宋体"/>
          <w:color w:val="000000"/>
          <w:kern w:val="2"/>
          <w:szCs w:val="24"/>
        </w:rPr>
        <w:t>GB 12158</w:t>
      </w:r>
      <w:r w:rsidRPr="00180378">
        <w:rPr>
          <w:rFonts w:ascii="Times New Roman" w:eastAsia="宋体" w:hint="eastAsia"/>
          <w:color w:val="000000"/>
          <w:kern w:val="2"/>
          <w:szCs w:val="24"/>
        </w:rPr>
        <w:t>规定的防静电装置</w:t>
      </w:r>
      <w:r w:rsidR="00BE6078">
        <w:rPr>
          <w:rFonts w:ascii="Times New Roman" w:eastAsia="宋体" w:hint="eastAsia"/>
          <w:color w:val="000000"/>
          <w:kern w:val="2"/>
          <w:szCs w:val="24"/>
        </w:rPr>
        <w:t>；</w:t>
      </w:r>
    </w:p>
    <w:p w14:paraId="78066876" w14:textId="1CC0E126" w:rsidR="00E92C40" w:rsidRPr="00180378" w:rsidRDefault="00EF02E5" w:rsidP="00180378">
      <w:pPr>
        <w:pStyle w:val="a5"/>
        <w:numPr>
          <w:ilvl w:val="0"/>
          <w:numId w:val="35"/>
        </w:numPr>
        <w:spacing w:beforeLines="0" w:before="0" w:afterLines="0" w:after="0"/>
        <w:rPr>
          <w:color w:val="000000"/>
        </w:rPr>
      </w:pPr>
      <w:r w:rsidRPr="00180378">
        <w:rPr>
          <w:rFonts w:ascii="Times New Roman" w:eastAsia="宋体" w:hint="eastAsia"/>
          <w:color w:val="000000"/>
          <w:kern w:val="2"/>
          <w:szCs w:val="24"/>
        </w:rPr>
        <w:t>对氨制冷机房内的制冷管道、水管等各种金属干管应做等电位联结。氨制冷机组及贮氨器、低压循环桶、中间冷却器、卧式蒸发器和氨液分离器等制冷辅助设备宜做等电位联结</w:t>
      </w:r>
      <w:r w:rsidR="00BE6078">
        <w:rPr>
          <w:rFonts w:ascii="Times New Roman" w:eastAsia="宋体" w:hint="eastAsia"/>
          <w:color w:val="000000"/>
          <w:kern w:val="2"/>
          <w:szCs w:val="24"/>
        </w:rPr>
        <w:t>；</w:t>
      </w:r>
    </w:p>
    <w:p w14:paraId="28E27619" w14:textId="03DEFB01" w:rsidR="00E92C40" w:rsidRPr="00180378" w:rsidRDefault="00EF02E5" w:rsidP="00180378">
      <w:pPr>
        <w:pStyle w:val="a5"/>
        <w:numPr>
          <w:ilvl w:val="0"/>
          <w:numId w:val="35"/>
        </w:numPr>
        <w:spacing w:beforeLines="0" w:before="0" w:afterLines="0" w:after="0"/>
        <w:rPr>
          <w:color w:val="000000"/>
        </w:rPr>
      </w:pPr>
      <w:r w:rsidRPr="00180378">
        <w:rPr>
          <w:rFonts w:ascii="Times New Roman" w:eastAsia="宋体" w:hint="eastAsia"/>
          <w:color w:val="000000"/>
          <w:kern w:val="2"/>
          <w:szCs w:val="24"/>
        </w:rPr>
        <w:t>防雷防静电装置应定期检验，并具有有效期内的检测合格报告。检测报告存档备查。</w:t>
      </w:r>
    </w:p>
    <w:p w14:paraId="12D9610C" w14:textId="77777777" w:rsidR="00E92C40" w:rsidRDefault="00EF02E5">
      <w:pPr>
        <w:pStyle w:val="3"/>
        <w:ind w:left="0"/>
      </w:pPr>
      <w:r>
        <w:rPr>
          <w:rFonts w:hint="eastAsia"/>
        </w:rPr>
        <w:t>液氨场所可能发生氨泄漏的场所应设置固定式氨气体浓度报警仪（有毒气体探测器），室内可能发生氨泄漏的场所尚应设置事故排风机。</w:t>
      </w:r>
    </w:p>
    <w:p w14:paraId="386CB32C" w14:textId="77777777" w:rsidR="00E92C40" w:rsidRDefault="00EF02E5">
      <w:pPr>
        <w:pStyle w:val="3"/>
        <w:ind w:left="0"/>
        <w:rPr>
          <w:color w:val="000000" w:themeColor="text1"/>
        </w:rPr>
      </w:pPr>
      <w:r>
        <w:rPr>
          <w:rFonts w:hint="eastAsia"/>
          <w:color w:val="000000" w:themeColor="text1"/>
        </w:rPr>
        <w:t>液氨场所事故排风机应采用防爆型，当发生事故而被切断电源时，应能保证事故排风装置的可靠供电。液氨场所应急照明系统的灯具、开关和配电线路的防爆应符合</w:t>
      </w:r>
      <w:r>
        <w:rPr>
          <w:rFonts w:hint="eastAsia"/>
          <w:color w:val="000000" w:themeColor="text1"/>
        </w:rPr>
        <w:t>GB50058</w:t>
      </w:r>
      <w:r>
        <w:rPr>
          <w:rFonts w:hint="eastAsia"/>
          <w:color w:val="000000" w:themeColor="text1"/>
        </w:rPr>
        <w:t>和</w:t>
      </w:r>
      <w:r>
        <w:rPr>
          <w:rFonts w:hint="eastAsia"/>
          <w:color w:val="000000" w:themeColor="text1"/>
        </w:rPr>
        <w:t>DB11/T1320</w:t>
      </w:r>
      <w:r>
        <w:rPr>
          <w:rFonts w:hint="eastAsia"/>
          <w:color w:val="000000" w:themeColor="text1"/>
        </w:rPr>
        <w:t>的有关要求；应急照明灯具和灯光疏散指示标志应设置备用电源，照明持续时间不应小于</w:t>
      </w:r>
      <w:r>
        <w:rPr>
          <w:rFonts w:hint="eastAsia"/>
          <w:color w:val="000000" w:themeColor="text1"/>
        </w:rPr>
        <w:t>30min</w:t>
      </w:r>
      <w:r>
        <w:rPr>
          <w:rFonts w:hint="eastAsia"/>
          <w:color w:val="000000" w:themeColor="text1"/>
        </w:rPr>
        <w:t>。</w:t>
      </w:r>
    </w:p>
    <w:p w14:paraId="3D226019" w14:textId="77777777" w:rsidR="00E92C40" w:rsidRDefault="00EF02E5">
      <w:pPr>
        <w:pStyle w:val="3"/>
        <w:ind w:left="0"/>
        <w:rPr>
          <w:color w:val="000000" w:themeColor="text1"/>
        </w:rPr>
      </w:pPr>
      <w:r>
        <w:rPr>
          <w:rFonts w:hint="eastAsia"/>
          <w:color w:val="000000" w:themeColor="text1"/>
        </w:rPr>
        <w:t>压力容器设备的液位计应标注最高和最低安全液位，压力表刻度盘应划出指示工作压力的红线。液位计和压力表显示面应无损且清洁、有效，安装位置应便于操作人员观察。</w:t>
      </w:r>
    </w:p>
    <w:p w14:paraId="6ACD7300" w14:textId="77777777" w:rsidR="00E92C40" w:rsidRDefault="00EF02E5" w:rsidP="006017AC">
      <w:pPr>
        <w:pStyle w:val="a5"/>
        <w:spacing w:before="156" w:after="156"/>
        <w:ind w:left="0"/>
        <w:rPr>
          <w:color w:val="000000"/>
        </w:rPr>
      </w:pPr>
      <w:r>
        <w:rPr>
          <w:rFonts w:hint="eastAsia"/>
          <w:color w:val="000000"/>
        </w:rPr>
        <w:t>设施</w:t>
      </w:r>
    </w:p>
    <w:p w14:paraId="66C1B19F" w14:textId="77777777" w:rsidR="00E92C40" w:rsidRDefault="00EF02E5">
      <w:pPr>
        <w:pStyle w:val="3"/>
        <w:ind w:left="0"/>
        <w:rPr>
          <w:color w:val="000000"/>
        </w:rPr>
      </w:pPr>
      <w:r>
        <w:rPr>
          <w:rFonts w:hint="eastAsia"/>
          <w:color w:val="000000"/>
        </w:rPr>
        <w:lastRenderedPageBreak/>
        <w:t>企业应设置对事故状态下泄漏的液氨和消防废水进行收集与储存的事故储存设施，包括事故应急池、备用输转罐、罐区围堤或装置围堰等。</w:t>
      </w:r>
    </w:p>
    <w:p w14:paraId="2FC80CE2" w14:textId="77777777" w:rsidR="00E92C40" w:rsidRDefault="00EF02E5">
      <w:pPr>
        <w:pStyle w:val="3"/>
        <w:ind w:left="0"/>
        <w:rPr>
          <w:color w:val="000000"/>
        </w:rPr>
      </w:pPr>
      <w:r>
        <w:rPr>
          <w:rFonts w:hint="eastAsia"/>
          <w:color w:val="000000"/>
        </w:rPr>
        <w:t>事故储存设施有效容积应根据发生事故的设备及系统容量、事故时消防用水量及可能进入事故储存设施的降水量等因素综合确定。</w:t>
      </w:r>
    </w:p>
    <w:p w14:paraId="28A31810" w14:textId="77777777" w:rsidR="00E92C40" w:rsidRDefault="00EF02E5">
      <w:pPr>
        <w:pStyle w:val="3"/>
        <w:ind w:left="0"/>
        <w:rPr>
          <w:color w:val="000000"/>
        </w:rPr>
      </w:pPr>
      <w:r>
        <w:rPr>
          <w:rFonts w:hint="eastAsia"/>
          <w:color w:val="000000"/>
        </w:rPr>
        <w:t>事故储存设施有效容积不符合要求且因现有场地所限不能设置或扩建事故应急池的，应采取临时构筑围堤或其他收容泄漏的液氨和事故废水的应急措施，并经处理达标后排放。</w:t>
      </w:r>
    </w:p>
    <w:p w14:paraId="13DEEF1D" w14:textId="77777777" w:rsidR="00E92C40" w:rsidRDefault="00EF02E5">
      <w:pPr>
        <w:pStyle w:val="3"/>
        <w:ind w:left="0"/>
        <w:rPr>
          <w:color w:val="000000" w:themeColor="text1"/>
        </w:rPr>
      </w:pPr>
      <w:r>
        <w:rPr>
          <w:rFonts w:hint="eastAsia"/>
          <w:color w:val="000000"/>
        </w:rPr>
        <w:t>应按照</w:t>
      </w:r>
      <w:r>
        <w:rPr>
          <w:rFonts w:hint="eastAsia"/>
          <w:color w:val="000000"/>
        </w:rPr>
        <w:t>GB 18218</w:t>
      </w:r>
      <w:r>
        <w:rPr>
          <w:rFonts w:hint="eastAsia"/>
          <w:color w:val="000000"/>
        </w:rPr>
        <w:t>对企业内液氨储存、装卸和使用装置、设施或者场所进行重大危险源辨识，并记录辨识过程与结果。对辨识为重大危险源的液氨储存、装卸和使用装置、设施或者场所的安全评估、登记建档、备案、核销工作应按</w:t>
      </w:r>
      <w:r>
        <w:rPr>
          <w:rFonts w:hint="eastAsia"/>
          <w:color w:val="000000" w:themeColor="text1"/>
        </w:rPr>
        <w:t>照国家有关管理办法执行。</w:t>
      </w:r>
    </w:p>
    <w:p w14:paraId="6A87E215" w14:textId="77777777" w:rsidR="00E92C40" w:rsidRDefault="00EF02E5">
      <w:pPr>
        <w:pStyle w:val="3"/>
        <w:ind w:left="0"/>
        <w:rPr>
          <w:color w:val="000000" w:themeColor="text1"/>
        </w:rPr>
      </w:pPr>
      <w:r>
        <w:rPr>
          <w:rFonts w:hint="eastAsia"/>
          <w:color w:val="000000" w:themeColor="text1"/>
        </w:rPr>
        <w:t>构成重大危险源的液氨储存、装卸和使用装置、设施或者场所应配备温度、压力、液位等信息的不间断采集和监测系统，并应设置压力和液位超限报警装置。系统应具备信息远传、连续记录、信息存储等功能，记录的电子数据的保存时间不少于</w:t>
      </w:r>
      <w:r>
        <w:rPr>
          <w:rFonts w:hint="eastAsia"/>
          <w:color w:val="000000" w:themeColor="text1"/>
        </w:rPr>
        <w:t>90d</w:t>
      </w:r>
      <w:r>
        <w:rPr>
          <w:rFonts w:hint="eastAsia"/>
          <w:color w:val="000000" w:themeColor="text1"/>
        </w:rPr>
        <w:t>。</w:t>
      </w:r>
    </w:p>
    <w:p w14:paraId="79F92275" w14:textId="77777777" w:rsidR="00E92C40" w:rsidRDefault="00EF02E5">
      <w:pPr>
        <w:pStyle w:val="a4"/>
        <w:spacing w:line="360" w:lineRule="exact"/>
        <w:rPr>
          <w:color w:val="000000"/>
        </w:rPr>
      </w:pPr>
      <w:bookmarkStart w:id="121" w:name="_Toc81233557"/>
      <w:r>
        <w:rPr>
          <w:rFonts w:hint="eastAsia"/>
          <w:color w:val="000000"/>
        </w:rPr>
        <w:t>监控系统要求</w:t>
      </w:r>
      <w:bookmarkEnd w:id="121"/>
    </w:p>
    <w:p w14:paraId="65ABD2BF" w14:textId="56F5F6FD" w:rsidR="00E92C40" w:rsidRDefault="00EF02E5" w:rsidP="00B95B37">
      <w:pPr>
        <w:pStyle w:val="a5"/>
        <w:spacing w:before="156" w:after="156" w:line="360" w:lineRule="exact"/>
        <w:ind w:left="0"/>
        <w:rPr>
          <w:color w:val="000000"/>
        </w:rPr>
      </w:pPr>
      <w:r>
        <w:rPr>
          <w:rFonts w:hint="eastAsia"/>
          <w:color w:val="000000"/>
        </w:rPr>
        <w:t>报警仪</w:t>
      </w:r>
      <w:r w:rsidR="005558D1">
        <w:rPr>
          <w:rFonts w:hint="eastAsia"/>
          <w:color w:val="000000"/>
        </w:rPr>
        <w:t>要求</w:t>
      </w:r>
    </w:p>
    <w:p w14:paraId="0BC0C720" w14:textId="77777777" w:rsidR="00E92C40" w:rsidRDefault="00EF02E5" w:rsidP="00B95B37">
      <w:pPr>
        <w:pStyle w:val="3"/>
        <w:ind w:left="0"/>
        <w:rPr>
          <w:color w:val="000000" w:themeColor="text1"/>
        </w:rPr>
      </w:pPr>
      <w:r>
        <w:rPr>
          <w:rFonts w:hint="eastAsia"/>
          <w:color w:val="000000" w:themeColor="text1"/>
        </w:rPr>
        <w:t>氨气体浓度报警仪设置应符合</w:t>
      </w:r>
      <w:r>
        <w:rPr>
          <w:rFonts w:hint="eastAsia"/>
          <w:color w:val="000000" w:themeColor="text1"/>
        </w:rPr>
        <w:t>GB/T 50493</w:t>
      </w:r>
      <w:r>
        <w:rPr>
          <w:rFonts w:hint="eastAsia"/>
          <w:color w:val="000000" w:themeColor="text1"/>
        </w:rPr>
        <w:t>的有关要求。</w:t>
      </w:r>
    </w:p>
    <w:p w14:paraId="7DA3D304" w14:textId="77777777" w:rsidR="00E92C40" w:rsidRDefault="00EF02E5" w:rsidP="00B95B37">
      <w:pPr>
        <w:pStyle w:val="3"/>
        <w:ind w:left="0"/>
        <w:rPr>
          <w:color w:val="000000" w:themeColor="text1"/>
          <w:szCs w:val="21"/>
        </w:rPr>
      </w:pPr>
      <w:r>
        <w:rPr>
          <w:rFonts w:hint="eastAsia"/>
          <w:color w:val="000000" w:themeColor="text1"/>
          <w:szCs w:val="21"/>
        </w:rPr>
        <w:t>室内设置的氨气体浓度报警仪应与相应的事故排风机联锁。</w:t>
      </w:r>
      <w:r>
        <w:rPr>
          <w:rFonts w:hint="eastAsia"/>
          <w:color w:val="000000" w:themeColor="text1"/>
          <w:szCs w:val="21"/>
        </w:rPr>
        <w:t xml:space="preserve"> </w:t>
      </w:r>
    </w:p>
    <w:p w14:paraId="10E329BB" w14:textId="77777777" w:rsidR="00E92C40" w:rsidRDefault="00EF02E5" w:rsidP="00B95B37">
      <w:pPr>
        <w:pStyle w:val="3"/>
        <w:ind w:left="0"/>
        <w:rPr>
          <w:color w:val="000000" w:themeColor="text1"/>
          <w:szCs w:val="21"/>
        </w:rPr>
      </w:pPr>
      <w:r>
        <w:rPr>
          <w:rFonts w:hint="eastAsia"/>
          <w:color w:val="000000" w:themeColor="text1"/>
          <w:szCs w:val="21"/>
        </w:rPr>
        <w:t>氨气体浓度报警仪应具有生产厂家的检验报告和产品合格证。应委托有检测资质的机构进行报警仪的校验。校验周期不应超过一年，并应检定合格。检定报告存档备查。</w:t>
      </w:r>
    </w:p>
    <w:p w14:paraId="75C4A659" w14:textId="285573C0" w:rsidR="00E92C40" w:rsidRDefault="005558D1" w:rsidP="00B95B37">
      <w:pPr>
        <w:pStyle w:val="a5"/>
        <w:spacing w:before="156" w:after="156" w:line="360" w:lineRule="exact"/>
        <w:ind w:left="0"/>
        <w:rPr>
          <w:color w:val="000000"/>
        </w:rPr>
      </w:pPr>
      <w:r>
        <w:rPr>
          <w:rFonts w:hint="eastAsia"/>
          <w:color w:val="000000"/>
        </w:rPr>
        <w:t>其他</w:t>
      </w:r>
      <w:r>
        <w:rPr>
          <w:color w:val="000000"/>
        </w:rPr>
        <w:t>要求</w:t>
      </w:r>
    </w:p>
    <w:p w14:paraId="142EA61C" w14:textId="483E303D" w:rsidR="00E92C40" w:rsidRPr="00180378" w:rsidRDefault="00EF02E5" w:rsidP="00180378">
      <w:pPr>
        <w:pStyle w:val="3"/>
        <w:ind w:left="0"/>
        <w:rPr>
          <w:color w:val="000000" w:themeColor="text1"/>
        </w:rPr>
      </w:pPr>
      <w:r w:rsidRPr="00180378">
        <w:rPr>
          <w:rFonts w:hint="eastAsia"/>
          <w:color w:val="000000" w:themeColor="text1"/>
        </w:rPr>
        <w:t>液氨场所应设置视频监控报警系统。视频图像信息保存期限不得少于</w:t>
      </w:r>
      <w:r w:rsidRPr="00180378">
        <w:rPr>
          <w:color w:val="000000" w:themeColor="text1"/>
        </w:rPr>
        <w:t>90d</w:t>
      </w:r>
      <w:r w:rsidRPr="00180378">
        <w:rPr>
          <w:rFonts w:hint="eastAsia"/>
          <w:color w:val="000000" w:themeColor="text1"/>
        </w:rPr>
        <w:t>。视频监控报警系统应符合</w:t>
      </w:r>
      <w:r w:rsidRPr="00180378">
        <w:rPr>
          <w:color w:val="000000" w:themeColor="text1"/>
        </w:rPr>
        <w:t>DB11/T 384</w:t>
      </w:r>
      <w:r w:rsidRPr="00180378">
        <w:rPr>
          <w:rFonts w:hint="eastAsia"/>
          <w:color w:val="000000" w:themeColor="text1"/>
        </w:rPr>
        <w:t>的有关要求。</w:t>
      </w:r>
    </w:p>
    <w:p w14:paraId="18EA9126" w14:textId="7965FB5F" w:rsidR="00E92C40" w:rsidRPr="00180378" w:rsidRDefault="00EF02E5" w:rsidP="00180378">
      <w:pPr>
        <w:pStyle w:val="3"/>
        <w:ind w:left="0"/>
        <w:rPr>
          <w:color w:val="000000" w:themeColor="text1"/>
        </w:rPr>
      </w:pPr>
      <w:r w:rsidRPr="005558D1">
        <w:rPr>
          <w:rFonts w:hint="eastAsia"/>
          <w:color w:val="000000" w:themeColor="text1"/>
        </w:rPr>
        <w:t>泄漏报警与视频监控报警等信号应传输至本单位的控制室，安全监控信号应满足异地调用需要。</w:t>
      </w:r>
    </w:p>
    <w:p w14:paraId="79CF0E88" w14:textId="56C39CB8" w:rsidR="00E92C40" w:rsidRPr="003A3333" w:rsidRDefault="005558D1" w:rsidP="003A3333">
      <w:pPr>
        <w:pStyle w:val="3"/>
        <w:ind w:left="0"/>
        <w:rPr>
          <w:color w:val="000000" w:themeColor="text1"/>
          <w:szCs w:val="21"/>
        </w:rPr>
      </w:pPr>
      <w:r w:rsidRPr="00180378">
        <w:rPr>
          <w:rFonts w:hint="eastAsia"/>
          <w:color w:val="000000" w:themeColor="text1"/>
        </w:rPr>
        <w:t>监控系统应配备不间断电源（</w:t>
      </w:r>
      <w:r w:rsidRPr="00180378">
        <w:rPr>
          <w:color w:val="000000" w:themeColor="text1"/>
        </w:rPr>
        <w:t>UPS</w:t>
      </w:r>
      <w:r w:rsidRPr="00180378">
        <w:rPr>
          <w:rFonts w:hint="eastAsia"/>
          <w:color w:val="000000" w:themeColor="text1"/>
        </w:rPr>
        <w:t>）。</w:t>
      </w:r>
    </w:p>
    <w:p w14:paraId="176D6C4C" w14:textId="77777777" w:rsidR="00E92C40" w:rsidRDefault="00EF02E5">
      <w:pPr>
        <w:pStyle w:val="a4"/>
        <w:rPr>
          <w:color w:val="000000"/>
        </w:rPr>
      </w:pPr>
      <w:bookmarkStart w:id="122" w:name="_Toc81233558"/>
      <w:r>
        <w:rPr>
          <w:rFonts w:hint="eastAsia"/>
          <w:color w:val="000000"/>
        </w:rPr>
        <w:t>人员防护</w:t>
      </w:r>
      <w:bookmarkEnd w:id="122"/>
    </w:p>
    <w:p w14:paraId="5BE060DF" w14:textId="77777777" w:rsidR="00E92C40" w:rsidRDefault="00EF02E5" w:rsidP="00180378">
      <w:pPr>
        <w:pStyle w:val="a5"/>
        <w:spacing w:beforeLines="0" w:before="0" w:afterLines="0" w:after="0"/>
        <w:ind w:left="0"/>
        <w:rPr>
          <w:color w:val="000000"/>
        </w:rPr>
      </w:pPr>
      <w:r>
        <w:rPr>
          <w:rFonts w:ascii="宋体" w:eastAsia="宋体" w:hAnsi="宋体" w:hint="eastAsia"/>
          <w:color w:val="000000"/>
        </w:rPr>
        <w:t>液氨场所应配备日常检维修作业所需的有效的防护器具，至少应包括过滤式防毒面具（配氨气专用滤毒罐）、橡胶手套、胶靴、化学安全防护眼镜，防护器具应满足在岗人员一人一具。</w:t>
      </w:r>
    </w:p>
    <w:p w14:paraId="49F12CDE" w14:textId="77777777" w:rsidR="00E92C40" w:rsidRDefault="00EF02E5" w:rsidP="00180378">
      <w:pPr>
        <w:pStyle w:val="a5"/>
        <w:spacing w:beforeLines="0" w:before="0" w:afterLines="0" w:after="0"/>
        <w:ind w:left="0"/>
        <w:rPr>
          <w:color w:val="000000"/>
        </w:rPr>
      </w:pPr>
      <w:r>
        <w:rPr>
          <w:rFonts w:ascii="宋体" w:eastAsia="宋体" w:hAnsi="宋体" w:hint="eastAsia"/>
          <w:color w:val="000000"/>
        </w:rPr>
        <w:t>液氨场所应配备事故应急工作所需的有效的防护器具，至少应包括正压式空气呼吸器、隔离式防护服，其中正压式空气呼吸器应至少配备两套。构成重大危险源的液氨场所尚应配备长管式防毒面具、重型防护服。</w:t>
      </w:r>
    </w:p>
    <w:p w14:paraId="44532308"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日常检维修防护器具与事故应急防护器具应分开放置，并有专人负责保管，定期校验和维护。</w:t>
      </w:r>
    </w:p>
    <w:p w14:paraId="4473B057"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液氨场所应设置洗</w:t>
      </w:r>
      <w:r>
        <w:rPr>
          <w:rFonts w:ascii="宋体" w:eastAsia="宋体" w:hAnsi="宋体" w:hint="eastAsia"/>
          <w:color w:val="000000" w:themeColor="text1"/>
        </w:rPr>
        <w:t>眼器、淋洗器等防护设施，保护半径不应大于15m。</w:t>
      </w:r>
    </w:p>
    <w:p w14:paraId="2540C98E"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液氨场所应配备在保质期内的酸性饮料或食醋、2%硼酸溶液、生理盐水等应急抢救物品。</w:t>
      </w:r>
    </w:p>
    <w:p w14:paraId="41811F28" w14:textId="77777777" w:rsidR="00E92C40" w:rsidRDefault="00EF02E5">
      <w:pPr>
        <w:pStyle w:val="a3"/>
        <w:rPr>
          <w:color w:val="000000"/>
        </w:rPr>
      </w:pPr>
      <w:bookmarkStart w:id="123" w:name="_Toc328660948"/>
      <w:bookmarkStart w:id="124" w:name="_Toc328731577"/>
      <w:bookmarkStart w:id="125" w:name="_Toc328749168"/>
      <w:bookmarkStart w:id="126" w:name="_Toc328751625"/>
      <w:bookmarkStart w:id="127" w:name="_Toc327891133"/>
      <w:bookmarkStart w:id="128" w:name="_Toc327948145"/>
      <w:bookmarkStart w:id="129" w:name="_Toc327952186"/>
      <w:bookmarkStart w:id="130" w:name="_Toc328064380"/>
      <w:bookmarkStart w:id="131" w:name="_Toc328064803"/>
      <w:bookmarkStart w:id="132" w:name="_Toc81233559"/>
      <w:r>
        <w:rPr>
          <w:rFonts w:hint="eastAsia"/>
          <w:color w:val="000000"/>
        </w:rPr>
        <w:t>液氨场所安全要求</w:t>
      </w:r>
      <w:bookmarkEnd w:id="123"/>
      <w:bookmarkEnd w:id="124"/>
      <w:bookmarkEnd w:id="125"/>
      <w:bookmarkEnd w:id="126"/>
      <w:bookmarkEnd w:id="132"/>
    </w:p>
    <w:p w14:paraId="119521D1" w14:textId="77777777" w:rsidR="00E92C40" w:rsidRDefault="00EF02E5">
      <w:pPr>
        <w:pStyle w:val="a4"/>
        <w:rPr>
          <w:color w:val="000000"/>
        </w:rPr>
      </w:pPr>
      <w:bookmarkStart w:id="133" w:name="_Toc81233560"/>
      <w:r>
        <w:rPr>
          <w:rFonts w:hint="eastAsia"/>
          <w:color w:val="000000"/>
        </w:rPr>
        <w:t>制冷系统场所</w:t>
      </w:r>
      <w:bookmarkEnd w:id="127"/>
      <w:bookmarkEnd w:id="128"/>
      <w:bookmarkEnd w:id="129"/>
      <w:bookmarkEnd w:id="130"/>
      <w:bookmarkEnd w:id="131"/>
      <w:bookmarkEnd w:id="133"/>
    </w:p>
    <w:p w14:paraId="213F1210"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lastRenderedPageBreak/>
        <w:t>氨制冷机房及其控制室与加工间、冷库或仓库库房贴邻建造时，应采用不开门窗洞口的防火墙分隔，且氨制冷机房及其控制室屋面板耐火极限不应低于1.00h。</w:t>
      </w:r>
    </w:p>
    <w:p w14:paraId="0BA4C010" w14:textId="77777777" w:rsidR="00E92C40" w:rsidRPr="00180378" w:rsidRDefault="00EF02E5" w:rsidP="00180378">
      <w:pPr>
        <w:pStyle w:val="a5"/>
        <w:spacing w:beforeLines="0" w:before="0" w:afterLines="0" w:after="0"/>
        <w:ind w:left="0"/>
        <w:rPr>
          <w:rFonts w:ascii="宋体" w:eastAsia="宋体" w:hAnsi="宋体"/>
          <w:color w:val="000000"/>
        </w:rPr>
      </w:pPr>
      <w:r w:rsidRPr="00180378">
        <w:rPr>
          <w:rFonts w:ascii="宋体" w:eastAsia="宋体" w:hAnsi="宋体" w:hint="eastAsia"/>
          <w:color w:val="000000"/>
        </w:rPr>
        <w:t>氨制冷机房与其控制室贴邻建造时，应采用耐火极限不低于</w:t>
      </w:r>
      <w:r w:rsidRPr="00180378">
        <w:rPr>
          <w:rFonts w:ascii="宋体" w:eastAsia="宋体" w:hAnsi="宋体"/>
          <w:color w:val="000000"/>
        </w:rPr>
        <w:t>3.00h</w:t>
      </w:r>
      <w:r w:rsidRPr="00180378">
        <w:rPr>
          <w:rFonts w:ascii="宋体" w:eastAsia="宋体" w:hAnsi="宋体" w:hint="eastAsia"/>
          <w:color w:val="000000"/>
        </w:rPr>
        <w:t>的防火隔墙隔开和设置独立的安全出口。氨制冷机房与其控制室之间隔墙上的观察窗应为甲级固定防火窗，观察窗的位置应便于室内人员巡视氨制冷机房设备运转情况，且确保</w:t>
      </w:r>
      <w:r w:rsidRPr="00180378">
        <w:rPr>
          <w:rFonts w:ascii="宋体" w:eastAsia="宋体" w:hAnsi="宋体"/>
          <w:color w:val="000000"/>
        </w:rPr>
        <w:t>24h</w:t>
      </w:r>
      <w:r w:rsidRPr="00180378">
        <w:rPr>
          <w:rFonts w:ascii="宋体" w:eastAsia="宋体" w:hAnsi="宋体" w:hint="eastAsia"/>
          <w:color w:val="000000"/>
        </w:rPr>
        <w:t>有人值守；当确需设置连通门时，应采用开向制冷机房的甲级防火门。</w:t>
      </w:r>
    </w:p>
    <w:p w14:paraId="4A68EDE5" w14:textId="77777777" w:rsidR="00E92C40" w:rsidRPr="00180378" w:rsidRDefault="00EF02E5" w:rsidP="00180378">
      <w:pPr>
        <w:pStyle w:val="a5"/>
        <w:spacing w:beforeLines="0" w:before="0" w:afterLines="0" w:after="0"/>
        <w:ind w:left="0"/>
        <w:rPr>
          <w:rFonts w:ascii="宋体" w:eastAsia="宋体" w:hAnsi="宋体"/>
          <w:color w:val="000000"/>
        </w:rPr>
      </w:pPr>
      <w:r w:rsidRPr="00180378">
        <w:rPr>
          <w:rFonts w:ascii="宋体" w:eastAsia="宋体" w:hAnsi="宋体" w:hint="eastAsia"/>
          <w:color w:val="000000"/>
        </w:rPr>
        <w:t>氨制冷机房及其控制室和变配电所安全出口的门应采用平开门，并向疏散方向开启。</w:t>
      </w:r>
    </w:p>
    <w:p w14:paraId="367B39FE" w14:textId="77777777" w:rsidR="00E92C40" w:rsidRPr="00180378" w:rsidRDefault="00EF02E5" w:rsidP="00180378">
      <w:pPr>
        <w:pStyle w:val="a5"/>
        <w:spacing w:beforeLines="0" w:before="0" w:afterLines="0" w:after="0"/>
        <w:ind w:left="0"/>
        <w:rPr>
          <w:rFonts w:ascii="宋体" w:eastAsia="宋体" w:hAnsi="宋体"/>
          <w:color w:val="000000"/>
        </w:rPr>
      </w:pPr>
      <w:r w:rsidRPr="00180378">
        <w:rPr>
          <w:rFonts w:ascii="宋体" w:eastAsia="宋体" w:hAnsi="宋体" w:hint="eastAsia"/>
          <w:color w:val="000000"/>
        </w:rPr>
        <w:t>变配电所与氨制冷机房及其控制室、冷库或加工车间贴邻建造时，其共用的隔墙应为防火墙。变配电室门口应设置挡板，门、窗、自然通风的孔洞用金属网和建筑材料封闭。</w:t>
      </w:r>
    </w:p>
    <w:p w14:paraId="306C89E9" w14:textId="77777777" w:rsidR="00E92C40" w:rsidRPr="00180378"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氨制冷机房事故排风量应按183m</w:t>
      </w:r>
      <w:r w:rsidRPr="00EA0A0C">
        <w:rPr>
          <w:rFonts w:ascii="宋体" w:eastAsia="宋体" w:hAnsi="宋体" w:hint="eastAsia"/>
          <w:color w:val="000000"/>
          <w:vertAlign w:val="superscript"/>
        </w:rPr>
        <w:t>3</w:t>
      </w:r>
      <w:r>
        <w:rPr>
          <w:rFonts w:ascii="宋体" w:eastAsia="宋体" w:hAnsi="宋体" w:hint="eastAsia"/>
          <w:color w:val="000000"/>
        </w:rPr>
        <w:t>/(m</w:t>
      </w:r>
      <w:r w:rsidRPr="00EA0A0C">
        <w:rPr>
          <w:rFonts w:ascii="宋体" w:eastAsia="宋体" w:hAnsi="宋体" w:hint="eastAsia"/>
          <w:color w:val="000000"/>
          <w:vertAlign w:val="superscript"/>
        </w:rPr>
        <w:t>2</w:t>
      </w:r>
      <w:r>
        <w:rPr>
          <w:rFonts w:ascii="宋体" w:eastAsia="宋体" w:hAnsi="宋体" w:hint="eastAsia"/>
          <w:color w:val="000000"/>
        </w:rPr>
        <w:t>•h)进行计算确定，且最小排风量不应小于34000m</w:t>
      </w:r>
      <w:r w:rsidRPr="00EA0A0C">
        <w:rPr>
          <w:rFonts w:ascii="宋体" w:eastAsia="宋体" w:hAnsi="宋体" w:hint="eastAsia"/>
          <w:color w:val="000000"/>
          <w:vertAlign w:val="superscript"/>
        </w:rPr>
        <w:t>3</w:t>
      </w:r>
      <w:r>
        <w:rPr>
          <w:rFonts w:ascii="宋体" w:eastAsia="宋体" w:hAnsi="宋体" w:hint="eastAsia"/>
          <w:color w:val="000000"/>
        </w:rPr>
        <w:t>/h。事故排风机的排风口应位于侧墙高处或屋顶。在控制室排风机控制柜上和制冷机房门口外墙上应安装人工启停控制按钮，并应设事故电源供电。</w:t>
      </w:r>
    </w:p>
    <w:p w14:paraId="4EF371CE"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氨制冷机房门口外侧便于操作的位置，应设置切断氨压缩机电源和氨泵电源的事故总开关。</w:t>
      </w:r>
    </w:p>
    <w:p w14:paraId="6C61D495" w14:textId="77777777" w:rsidR="00E92C40" w:rsidRPr="00180378"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冷库库房外部、氨制冷机房外部应按GB 50016、GB 50974的有关要求设置消火栓，并配备移动式喷雾水枪。冷库库房内应设应急照明与呼叫报警装置。室外消火栓的保护半径不应小于150 m，消火栓应与氨制冷机房门口保持一定的安全距离，不宜小于5m，并不大于15m。冷库库房内的消火栓应设置在穿堂或楼梯间内，当其环境温度低于 0℃时，室内消火栓系统可采用干式系统，但应在首层入口处设置快速接口和止回阀，管道最高处应设置自动排气阀。</w:t>
      </w:r>
    </w:p>
    <w:p w14:paraId="002555CA"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低压循环贮液器、氨液分离器和中间冷却器应设高液位报警装置，报警信号应引至控制室。</w:t>
      </w:r>
    </w:p>
    <w:p w14:paraId="3358CB06"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氨制冷机房内的储氨器上方宜设置固定消防水喷淋系统，喷淋范围内不宜设置无防潮设施的电器设备。</w:t>
      </w:r>
    </w:p>
    <w:p w14:paraId="70717833"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制冷系统宜装设紧急泄氨器，紧急泄氨器设计应符合JB/T 7658.12的有关要求。</w:t>
      </w:r>
    </w:p>
    <w:p w14:paraId="4C1D2EA5"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冷凝器、贮液器、排液器、低压循环桶、中间冷却器等附属制冷设备，均应安装安全阀，确保达到整定压力时安全阀能自动开启。冷凝器应设冷凝压力超压报警装置。水冷冷凝器应设断水报警装置；蒸发式冷凝器应增设压力表、安全阀及风机故障报警装置。</w:t>
      </w:r>
    </w:p>
    <w:p w14:paraId="16933BFF" w14:textId="77777777" w:rsidR="00E92C40" w:rsidRPr="00180378"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安全阀应设置泄压管，制冷系统的安全总泄压管出口应高于周围</w:t>
      </w:r>
      <w:smartTag w:uri="urn:schemas-microsoft-com:office:smarttags" w:element="chmetcnv">
        <w:smartTagPr>
          <w:attr w:name="UnitName" w:val="m"/>
          <w:attr w:name="SourceValue" w:val="50"/>
          <w:attr w:name="HasSpace" w:val="False"/>
          <w:attr w:name="Negative" w:val="False"/>
          <w:attr w:name="NumberType" w:val="1"/>
          <w:attr w:name="TCSC" w:val="0"/>
        </w:smartTagPr>
        <w:r>
          <w:rPr>
            <w:rFonts w:ascii="宋体" w:eastAsia="宋体" w:hAnsi="宋体" w:hint="eastAsia"/>
            <w:color w:val="000000"/>
          </w:rPr>
          <w:t>50m</w:t>
        </w:r>
      </w:smartTag>
      <w:r>
        <w:rPr>
          <w:rFonts w:ascii="宋体" w:eastAsia="宋体" w:hAnsi="宋体" w:hint="eastAsia"/>
          <w:color w:val="000000"/>
        </w:rPr>
        <w:t>内最高建筑物（冷库除外）</w:t>
      </w:r>
      <w:r w:rsidRPr="00180378">
        <w:rPr>
          <w:rFonts w:ascii="宋体" w:eastAsia="宋体" w:hAnsi="宋体" w:hint="eastAsia"/>
          <w:color w:val="000000"/>
        </w:rPr>
        <w:t>的屋脊</w:t>
      </w:r>
      <w:smartTag w:uri="urn:schemas-microsoft-com:office:smarttags" w:element="chmetcnv">
        <w:smartTagPr>
          <w:attr w:name="UnitName" w:val="m"/>
          <w:attr w:name="SourceValue" w:val="5"/>
          <w:attr w:name="HasSpace" w:val="False"/>
          <w:attr w:name="Negative" w:val="False"/>
          <w:attr w:name="NumberType" w:val="1"/>
          <w:attr w:name="TCSC" w:val="0"/>
        </w:smartTagPr>
        <w:r w:rsidRPr="00180378">
          <w:rPr>
            <w:rFonts w:ascii="宋体" w:eastAsia="宋体" w:hAnsi="宋体"/>
            <w:color w:val="000000"/>
          </w:rPr>
          <w:t>5m</w:t>
        </w:r>
      </w:smartTag>
      <w:r w:rsidRPr="00180378">
        <w:rPr>
          <w:rFonts w:ascii="宋体" w:eastAsia="宋体" w:hAnsi="宋体" w:hint="eastAsia"/>
          <w:color w:val="000000"/>
        </w:rPr>
        <w:t>，并应采取防止雷击、防止雨水和杂物落入泄压管内措施。</w:t>
      </w:r>
    </w:p>
    <w:p w14:paraId="29716720" w14:textId="6754DB19" w:rsidR="00E92C40" w:rsidRPr="00180378" w:rsidRDefault="00EF02E5" w:rsidP="00180378">
      <w:pPr>
        <w:pStyle w:val="a5"/>
        <w:spacing w:beforeLines="0" w:before="0" w:afterLines="0" w:after="0"/>
        <w:ind w:left="0"/>
        <w:rPr>
          <w:rFonts w:hAnsi="宋体"/>
          <w:color w:val="000000"/>
        </w:rPr>
      </w:pPr>
      <w:r w:rsidRPr="00180378">
        <w:rPr>
          <w:rFonts w:ascii="宋体" w:eastAsia="宋体" w:hAnsi="宋体" w:hint="eastAsia"/>
          <w:color w:val="000000"/>
        </w:rPr>
        <w:t>快速冻结装置应设置在单独的作业间内，作业间应结构完整，且作业间内同一时间作业人员人数不应超过</w:t>
      </w:r>
      <w:r w:rsidRPr="00180378">
        <w:rPr>
          <w:rFonts w:ascii="宋体" w:eastAsia="宋体" w:hAnsi="宋体"/>
          <w:color w:val="000000"/>
        </w:rPr>
        <w:t xml:space="preserve"> 9 </w:t>
      </w:r>
      <w:r w:rsidRPr="00180378">
        <w:rPr>
          <w:rFonts w:ascii="宋体" w:eastAsia="宋体" w:hAnsi="宋体" w:hint="eastAsia"/>
          <w:color w:val="000000"/>
        </w:rPr>
        <w:t>人。</w:t>
      </w:r>
    </w:p>
    <w:p w14:paraId="7E8E0705" w14:textId="145B2BCC" w:rsidR="00E92C40" w:rsidRPr="00180378" w:rsidRDefault="00EF02E5" w:rsidP="00180378">
      <w:pPr>
        <w:pStyle w:val="a5"/>
        <w:spacing w:beforeLines="0" w:before="0" w:afterLines="0" w:after="0"/>
        <w:ind w:left="0"/>
        <w:rPr>
          <w:rFonts w:hAnsi="宋体"/>
          <w:color w:val="000000"/>
        </w:rPr>
      </w:pPr>
      <w:r w:rsidRPr="00180378">
        <w:rPr>
          <w:rFonts w:ascii="宋体" w:eastAsia="宋体" w:hAnsi="宋体" w:hint="eastAsia"/>
          <w:color w:val="000000"/>
        </w:rPr>
        <w:t>冷库的库房与加工车间贴邻建造时，应采用防火墙分隔，当确需开设相互连通的人行开口时，应采取防火隔间措施进行分隔。</w:t>
      </w:r>
    </w:p>
    <w:p w14:paraId="29B04733" w14:textId="08ABDED2" w:rsidR="00E92C40" w:rsidRPr="00180378" w:rsidRDefault="00EF02E5" w:rsidP="00180378">
      <w:pPr>
        <w:pStyle w:val="a5"/>
        <w:spacing w:beforeLines="0" w:before="0" w:afterLines="0" w:after="0"/>
        <w:ind w:left="0"/>
        <w:rPr>
          <w:rFonts w:hAnsi="宋体"/>
          <w:color w:val="000000"/>
        </w:rPr>
      </w:pPr>
      <w:r w:rsidRPr="00180378">
        <w:rPr>
          <w:rFonts w:ascii="宋体" w:eastAsia="宋体" w:hAnsi="宋体" w:hint="eastAsia"/>
          <w:color w:val="000000"/>
        </w:rPr>
        <w:t>新建（含改、扩建）氨制冷系统的热氨融霜应采用自动控制融霜。热氨融霜供气管道应设置融霜压力控制及紧急切断装置；热氨融霜紧急切断装置应采用自动控制，并在人员密集区域需融霜的制冷装置（如快速冻结装置）</w:t>
      </w:r>
      <w:r w:rsidRPr="00180378">
        <w:rPr>
          <w:rFonts w:ascii="宋体" w:eastAsia="宋体" w:hAnsi="宋体"/>
          <w:color w:val="000000"/>
        </w:rPr>
        <w:t xml:space="preserve">30m </w:t>
      </w:r>
      <w:r w:rsidRPr="00180378">
        <w:rPr>
          <w:rFonts w:ascii="宋体" w:eastAsia="宋体" w:hAnsi="宋体" w:hint="eastAsia"/>
          <w:color w:val="000000"/>
        </w:rPr>
        <w:t>以外便于操作的位置或快速冻结装置附近的安全出口门外设置关闭热氨融霜紧急切断装置的人工启动按钮。</w:t>
      </w:r>
    </w:p>
    <w:p w14:paraId="6AA83715" w14:textId="448FCA1F" w:rsidR="00E92C40" w:rsidRPr="00180378" w:rsidRDefault="00EF02E5" w:rsidP="00180378">
      <w:pPr>
        <w:pStyle w:val="a5"/>
        <w:spacing w:beforeLines="0" w:before="0" w:afterLines="0" w:after="0"/>
        <w:ind w:left="0"/>
        <w:rPr>
          <w:rFonts w:hAnsi="宋体"/>
          <w:color w:val="000000"/>
        </w:rPr>
      </w:pPr>
      <w:r w:rsidRPr="00180378">
        <w:rPr>
          <w:rFonts w:ascii="宋体" w:eastAsia="宋体" w:hAnsi="宋体" w:hint="eastAsia"/>
          <w:color w:val="000000"/>
        </w:rPr>
        <w:t>制冷系统用压力容器、加氨站集管，以及氨液体、气体分配站集管和空气分离器的回气管，均应安装氨专用压力表。安装位置距操作者直线距离不应超过</w:t>
      </w:r>
      <w:r w:rsidRPr="00180378">
        <w:rPr>
          <w:rFonts w:ascii="宋体" w:eastAsia="宋体" w:hAnsi="宋体"/>
          <w:color w:val="000000"/>
        </w:rPr>
        <w:t xml:space="preserve"> 3m</w:t>
      </w:r>
      <w:r w:rsidRPr="00180378">
        <w:rPr>
          <w:rFonts w:ascii="宋体" w:eastAsia="宋体" w:hAnsi="宋体" w:hint="eastAsia"/>
          <w:color w:val="000000"/>
        </w:rPr>
        <w:t>，且应清晰可见。压力表选用精度应符合以下规定</w:t>
      </w:r>
      <w:r w:rsidR="00FF3726">
        <w:rPr>
          <w:rFonts w:ascii="宋体" w:eastAsia="宋体" w:hAnsi="宋体" w:hint="eastAsia"/>
          <w:color w:val="000000"/>
        </w:rPr>
        <w:t>：</w:t>
      </w:r>
    </w:p>
    <w:p w14:paraId="52560C60" w14:textId="3DCBC2EB" w:rsidR="00E92C40" w:rsidRPr="00180378" w:rsidRDefault="00EF02E5" w:rsidP="00180378">
      <w:pPr>
        <w:pStyle w:val="a5"/>
        <w:numPr>
          <w:ilvl w:val="0"/>
          <w:numId w:val="39"/>
        </w:numPr>
        <w:spacing w:beforeLines="0" w:before="0" w:afterLines="0" w:after="0"/>
        <w:rPr>
          <w:rFonts w:ascii="Times New Roman"/>
          <w:color w:val="000000"/>
          <w:kern w:val="2"/>
          <w:szCs w:val="24"/>
        </w:rPr>
      </w:pPr>
      <w:r w:rsidRPr="00180378">
        <w:rPr>
          <w:rFonts w:ascii="Times New Roman" w:eastAsia="宋体" w:hint="eastAsia"/>
          <w:color w:val="000000"/>
          <w:kern w:val="2"/>
          <w:szCs w:val="24"/>
        </w:rPr>
        <w:t>位于制冷系统高压侧的压力表或真空压力表不应低于</w:t>
      </w:r>
      <w:r w:rsidRPr="00180378">
        <w:rPr>
          <w:rFonts w:ascii="Times New Roman" w:eastAsia="宋体"/>
          <w:color w:val="000000"/>
          <w:kern w:val="2"/>
          <w:szCs w:val="24"/>
        </w:rPr>
        <w:t>1.5</w:t>
      </w:r>
      <w:r w:rsidRPr="00180378">
        <w:rPr>
          <w:rFonts w:ascii="Times New Roman" w:eastAsia="宋体" w:hint="eastAsia"/>
          <w:color w:val="000000"/>
          <w:kern w:val="2"/>
          <w:szCs w:val="24"/>
        </w:rPr>
        <w:t>级</w:t>
      </w:r>
      <w:r w:rsidR="00BE6078">
        <w:rPr>
          <w:rFonts w:ascii="Times New Roman" w:eastAsia="宋体" w:hint="eastAsia"/>
          <w:color w:val="000000"/>
          <w:kern w:val="2"/>
          <w:szCs w:val="24"/>
        </w:rPr>
        <w:t>；</w:t>
      </w:r>
    </w:p>
    <w:p w14:paraId="4A25A05B" w14:textId="4D8E9C13" w:rsidR="00E92C40" w:rsidRPr="00180378" w:rsidRDefault="00EF02E5" w:rsidP="00180378">
      <w:pPr>
        <w:pStyle w:val="a5"/>
        <w:numPr>
          <w:ilvl w:val="0"/>
          <w:numId w:val="39"/>
        </w:numPr>
        <w:spacing w:beforeLines="0" w:before="0" w:afterLines="0" w:after="0"/>
        <w:rPr>
          <w:rFonts w:ascii="Times New Roman"/>
          <w:color w:val="000000"/>
          <w:kern w:val="2"/>
          <w:szCs w:val="24"/>
        </w:rPr>
      </w:pPr>
      <w:r w:rsidRPr="00180378">
        <w:rPr>
          <w:rFonts w:ascii="Times New Roman" w:eastAsia="宋体" w:hint="eastAsia"/>
          <w:color w:val="000000"/>
          <w:kern w:val="2"/>
          <w:szCs w:val="24"/>
        </w:rPr>
        <w:t>位于制冷系统低压侧的真空压力表不应低于</w:t>
      </w:r>
      <w:r w:rsidRPr="00180378">
        <w:rPr>
          <w:rFonts w:ascii="Times New Roman" w:eastAsia="宋体"/>
          <w:color w:val="000000"/>
          <w:kern w:val="2"/>
          <w:szCs w:val="24"/>
        </w:rPr>
        <w:t>2.5</w:t>
      </w:r>
      <w:r w:rsidRPr="00180378">
        <w:rPr>
          <w:rFonts w:ascii="Times New Roman" w:eastAsia="宋体" w:hint="eastAsia"/>
          <w:color w:val="000000"/>
          <w:kern w:val="2"/>
          <w:szCs w:val="24"/>
        </w:rPr>
        <w:t>级</w:t>
      </w:r>
      <w:r w:rsidR="00BE6078">
        <w:rPr>
          <w:rFonts w:ascii="Times New Roman" w:eastAsia="宋体" w:hint="eastAsia"/>
          <w:color w:val="000000"/>
          <w:kern w:val="2"/>
          <w:szCs w:val="24"/>
        </w:rPr>
        <w:t>；</w:t>
      </w:r>
    </w:p>
    <w:p w14:paraId="2085A8F7" w14:textId="58DD34A1" w:rsidR="00E92C40" w:rsidRDefault="00EF02E5" w:rsidP="00180378">
      <w:pPr>
        <w:pStyle w:val="a5"/>
        <w:numPr>
          <w:ilvl w:val="0"/>
          <w:numId w:val="39"/>
        </w:numPr>
        <w:spacing w:beforeLines="0" w:before="0" w:afterLines="0" w:after="0"/>
        <w:rPr>
          <w:color w:val="000000" w:themeColor="text1"/>
        </w:rPr>
      </w:pPr>
      <w:r w:rsidRPr="00180378">
        <w:rPr>
          <w:rFonts w:ascii="Times New Roman" w:eastAsia="宋体" w:hint="eastAsia"/>
          <w:color w:val="000000"/>
          <w:kern w:val="2"/>
          <w:szCs w:val="24"/>
        </w:rPr>
        <w:t>压力表或真空压力表的量程不得小于工作压力的</w:t>
      </w:r>
      <w:r w:rsidRPr="00180378">
        <w:rPr>
          <w:rFonts w:ascii="Times New Roman" w:eastAsia="宋体"/>
          <w:color w:val="000000"/>
          <w:kern w:val="2"/>
          <w:szCs w:val="24"/>
        </w:rPr>
        <w:t>1.5</w:t>
      </w:r>
      <w:r w:rsidRPr="00180378">
        <w:rPr>
          <w:rFonts w:ascii="Times New Roman" w:eastAsia="宋体" w:hint="eastAsia"/>
          <w:color w:val="000000"/>
          <w:kern w:val="2"/>
          <w:szCs w:val="24"/>
        </w:rPr>
        <w:t>倍，不得大于工作压力的</w:t>
      </w:r>
      <w:r w:rsidRPr="00180378">
        <w:rPr>
          <w:rFonts w:ascii="Times New Roman" w:eastAsia="宋体"/>
          <w:color w:val="000000"/>
          <w:kern w:val="2"/>
          <w:szCs w:val="24"/>
        </w:rPr>
        <w:t>3</w:t>
      </w:r>
      <w:r w:rsidRPr="00180378">
        <w:rPr>
          <w:rFonts w:ascii="Times New Roman" w:eastAsia="宋体" w:hint="eastAsia"/>
          <w:color w:val="000000"/>
          <w:kern w:val="2"/>
          <w:szCs w:val="24"/>
        </w:rPr>
        <w:t>倍。</w:t>
      </w:r>
      <w:r>
        <w:rPr>
          <w:rFonts w:hint="eastAsia"/>
          <w:color w:val="000000" w:themeColor="text1"/>
        </w:rPr>
        <w:t xml:space="preserve"> </w:t>
      </w:r>
    </w:p>
    <w:p w14:paraId="42AFC068" w14:textId="77777777" w:rsidR="00E92C40" w:rsidRDefault="00EF02E5">
      <w:pPr>
        <w:pStyle w:val="a4"/>
        <w:rPr>
          <w:color w:val="000000"/>
        </w:rPr>
      </w:pPr>
      <w:bookmarkStart w:id="134" w:name="_Toc327891136"/>
      <w:bookmarkStart w:id="135" w:name="_Toc327948148"/>
      <w:bookmarkStart w:id="136" w:name="_Toc327952189"/>
      <w:bookmarkStart w:id="137" w:name="_Toc328064383"/>
      <w:bookmarkStart w:id="138" w:name="_Toc328064806"/>
      <w:bookmarkStart w:id="139" w:name="_Toc81233561"/>
      <w:r>
        <w:rPr>
          <w:rFonts w:hint="eastAsia"/>
          <w:color w:val="000000"/>
        </w:rPr>
        <w:t>装卸场所</w:t>
      </w:r>
      <w:bookmarkEnd w:id="134"/>
      <w:bookmarkEnd w:id="135"/>
      <w:bookmarkEnd w:id="136"/>
      <w:bookmarkEnd w:id="137"/>
      <w:bookmarkEnd w:id="138"/>
      <w:bookmarkEnd w:id="139"/>
    </w:p>
    <w:p w14:paraId="6B7523DB"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lastRenderedPageBreak/>
        <w:t>涉及液氨充装的企业应核查液氨供应企业的充装、人员、车辆等资质，并建立合格供应商档案，充装现场查验合格后方可进行充装作业。</w:t>
      </w:r>
    </w:p>
    <w:p w14:paraId="07ED6CBE" w14:textId="535AC03C" w:rsidR="00E92C40" w:rsidRPr="00180378" w:rsidRDefault="00EF02E5" w:rsidP="00180378">
      <w:pPr>
        <w:pStyle w:val="a5"/>
        <w:spacing w:beforeLines="0" w:before="0" w:afterLines="0" w:after="0"/>
        <w:ind w:left="0"/>
        <w:rPr>
          <w:rFonts w:ascii="宋体" w:eastAsia="宋体" w:hAnsi="宋体"/>
          <w:color w:val="000000"/>
        </w:rPr>
      </w:pPr>
      <w:bookmarkStart w:id="140" w:name="OLE_LINK1"/>
      <w:r>
        <w:rPr>
          <w:rFonts w:ascii="宋体" w:eastAsia="宋体" w:hAnsi="宋体" w:hint="eastAsia"/>
          <w:color w:val="000000"/>
        </w:rPr>
        <w:t>液氨罐车装卸应采用金属万向管道充装系统</w:t>
      </w:r>
      <w:bookmarkEnd w:id="140"/>
      <w:r>
        <w:rPr>
          <w:rFonts w:ascii="宋体" w:eastAsia="宋体" w:hAnsi="宋体" w:hint="eastAsia"/>
          <w:color w:val="000000"/>
        </w:rPr>
        <w:t>，禁止使用软管充装。液氨装卸用管应符合</w:t>
      </w:r>
      <w:r>
        <w:rPr>
          <w:rFonts w:ascii="宋体" w:eastAsia="宋体" w:hAnsi="宋体"/>
          <w:color w:val="000000"/>
        </w:rPr>
        <w:t>TSG R0005</w:t>
      </w:r>
      <w:r>
        <w:rPr>
          <w:rFonts w:ascii="宋体" w:eastAsia="宋体" w:hAnsi="宋体" w:hint="eastAsia"/>
          <w:color w:val="000000"/>
        </w:rPr>
        <w:t>的有关要求</w:t>
      </w:r>
      <w:r w:rsidR="00FF3726">
        <w:rPr>
          <w:rFonts w:ascii="宋体" w:eastAsia="宋体" w:hAnsi="宋体" w:hint="eastAsia"/>
          <w:color w:val="000000"/>
        </w:rPr>
        <w:t>以及</w:t>
      </w:r>
      <w:r w:rsidR="00FF3726">
        <w:rPr>
          <w:rFonts w:ascii="宋体" w:eastAsia="宋体" w:hAnsi="宋体"/>
          <w:color w:val="000000"/>
        </w:rPr>
        <w:t>以下要求</w:t>
      </w:r>
      <w:r w:rsidR="00FF3726">
        <w:rPr>
          <w:rFonts w:ascii="宋体" w:eastAsia="宋体" w:hAnsi="宋体" w:hint="eastAsia"/>
          <w:color w:val="000000"/>
        </w:rPr>
        <w:t>：</w:t>
      </w:r>
    </w:p>
    <w:p w14:paraId="3A7162F5" w14:textId="599E612E" w:rsidR="00E92C40" w:rsidRPr="00180378" w:rsidRDefault="00EF02E5" w:rsidP="00180378">
      <w:pPr>
        <w:pStyle w:val="a5"/>
        <w:numPr>
          <w:ilvl w:val="0"/>
          <w:numId w:val="41"/>
        </w:numPr>
        <w:spacing w:beforeLines="0" w:before="0" w:afterLines="0" w:after="0"/>
        <w:rPr>
          <w:rFonts w:ascii="Times New Roman" w:eastAsia="宋体"/>
          <w:color w:val="000000"/>
          <w:kern w:val="2"/>
          <w:szCs w:val="24"/>
        </w:rPr>
      </w:pPr>
      <w:r w:rsidRPr="00180378">
        <w:rPr>
          <w:rFonts w:ascii="Times New Roman" w:eastAsia="宋体" w:hint="eastAsia"/>
          <w:color w:val="000000"/>
          <w:kern w:val="2"/>
          <w:szCs w:val="24"/>
        </w:rPr>
        <w:t>装卸用管与液氨罐车的连接应当可靠</w:t>
      </w:r>
      <w:r w:rsidR="00FF3726">
        <w:rPr>
          <w:rFonts w:ascii="Times New Roman" w:eastAsia="宋体" w:hint="eastAsia"/>
          <w:color w:val="000000"/>
          <w:kern w:val="2"/>
          <w:szCs w:val="24"/>
        </w:rPr>
        <w:t>；</w:t>
      </w:r>
    </w:p>
    <w:p w14:paraId="2AEE11BE" w14:textId="0CF439CF" w:rsidR="00E92C40" w:rsidRPr="00180378" w:rsidRDefault="00EF02E5" w:rsidP="00180378">
      <w:pPr>
        <w:pStyle w:val="a5"/>
        <w:numPr>
          <w:ilvl w:val="0"/>
          <w:numId w:val="41"/>
        </w:numPr>
        <w:spacing w:beforeLines="0" w:before="0" w:afterLines="0" w:after="0"/>
        <w:rPr>
          <w:rFonts w:ascii="Times New Roman" w:eastAsia="宋体"/>
          <w:color w:val="000000"/>
          <w:kern w:val="2"/>
          <w:szCs w:val="24"/>
        </w:rPr>
      </w:pPr>
      <w:r w:rsidRPr="00180378">
        <w:rPr>
          <w:rFonts w:ascii="Times New Roman" w:eastAsia="宋体" w:hint="eastAsia"/>
          <w:color w:val="000000"/>
          <w:kern w:val="2"/>
          <w:szCs w:val="24"/>
        </w:rPr>
        <w:t>有防止装卸用管拉脱的安全保护措施</w:t>
      </w:r>
      <w:r w:rsidR="00FF3726">
        <w:rPr>
          <w:rFonts w:ascii="Times New Roman" w:eastAsia="宋体" w:hint="eastAsia"/>
          <w:color w:val="000000"/>
          <w:kern w:val="2"/>
          <w:szCs w:val="24"/>
        </w:rPr>
        <w:t>；</w:t>
      </w:r>
    </w:p>
    <w:p w14:paraId="0A2B7D78" w14:textId="76626C35" w:rsidR="00E92C40" w:rsidRPr="00180378" w:rsidRDefault="00EF02E5" w:rsidP="00180378">
      <w:pPr>
        <w:pStyle w:val="a5"/>
        <w:numPr>
          <w:ilvl w:val="0"/>
          <w:numId w:val="41"/>
        </w:numPr>
        <w:spacing w:beforeLines="0" w:before="0" w:afterLines="0" w:after="0"/>
        <w:rPr>
          <w:rFonts w:ascii="Times New Roman" w:eastAsia="宋体"/>
          <w:color w:val="000000"/>
          <w:kern w:val="2"/>
          <w:szCs w:val="24"/>
        </w:rPr>
      </w:pPr>
      <w:r w:rsidRPr="00180378">
        <w:rPr>
          <w:rFonts w:ascii="Times New Roman" w:eastAsia="宋体" w:hint="eastAsia"/>
          <w:color w:val="000000"/>
          <w:kern w:val="2"/>
          <w:szCs w:val="24"/>
        </w:rPr>
        <w:t>所选用装卸用管的材料与液氨性质相容</w:t>
      </w:r>
      <w:r w:rsidR="00FF3726">
        <w:rPr>
          <w:rFonts w:ascii="Times New Roman" w:eastAsia="宋体" w:hint="eastAsia"/>
          <w:color w:val="000000"/>
          <w:kern w:val="2"/>
          <w:szCs w:val="24"/>
        </w:rPr>
        <w:t>；</w:t>
      </w:r>
    </w:p>
    <w:p w14:paraId="41791718" w14:textId="3F85679D" w:rsidR="00E92C40" w:rsidRPr="00180378" w:rsidRDefault="00EF02E5" w:rsidP="00180378">
      <w:pPr>
        <w:pStyle w:val="a5"/>
        <w:numPr>
          <w:ilvl w:val="0"/>
          <w:numId w:val="41"/>
        </w:numPr>
        <w:spacing w:beforeLines="0" w:before="0" w:afterLines="0" w:after="0"/>
        <w:rPr>
          <w:rFonts w:ascii="Times New Roman" w:eastAsia="宋体"/>
          <w:color w:val="000000"/>
          <w:kern w:val="2"/>
          <w:szCs w:val="24"/>
        </w:rPr>
      </w:pPr>
      <w:r w:rsidRPr="00180378">
        <w:rPr>
          <w:rFonts w:ascii="Times New Roman" w:eastAsia="宋体" w:hint="eastAsia"/>
          <w:color w:val="000000"/>
          <w:kern w:val="2"/>
          <w:szCs w:val="24"/>
        </w:rPr>
        <w:t>装卸用管材料能够满足低温性能要求</w:t>
      </w:r>
      <w:r w:rsidR="00FF3726">
        <w:rPr>
          <w:rFonts w:ascii="Times New Roman" w:eastAsia="宋体" w:hint="eastAsia"/>
          <w:color w:val="000000"/>
          <w:kern w:val="2"/>
          <w:szCs w:val="24"/>
        </w:rPr>
        <w:t>；</w:t>
      </w:r>
    </w:p>
    <w:p w14:paraId="5D77DDE4" w14:textId="10912307" w:rsidR="00E92C40" w:rsidRPr="00180378" w:rsidRDefault="00EF02E5" w:rsidP="00180378">
      <w:pPr>
        <w:pStyle w:val="a5"/>
        <w:numPr>
          <w:ilvl w:val="0"/>
          <w:numId w:val="41"/>
        </w:numPr>
        <w:spacing w:beforeLines="0" w:before="0" w:afterLines="0" w:after="0"/>
        <w:rPr>
          <w:rFonts w:ascii="Times New Roman" w:eastAsia="宋体"/>
          <w:color w:val="000000"/>
          <w:kern w:val="2"/>
          <w:szCs w:val="24"/>
        </w:rPr>
      </w:pPr>
      <w:r w:rsidRPr="00180378">
        <w:rPr>
          <w:rFonts w:ascii="Times New Roman" w:eastAsia="宋体" w:hint="eastAsia"/>
          <w:color w:val="000000"/>
          <w:kern w:val="2"/>
          <w:szCs w:val="24"/>
        </w:rPr>
        <w:t>装卸用管的公称压力不得小于装卸系统工作压力的</w:t>
      </w:r>
      <w:r w:rsidRPr="00180378">
        <w:rPr>
          <w:rFonts w:ascii="Times New Roman" w:eastAsia="宋体"/>
          <w:color w:val="000000"/>
          <w:kern w:val="2"/>
          <w:szCs w:val="24"/>
        </w:rPr>
        <w:t>2</w:t>
      </w:r>
      <w:r w:rsidRPr="00180378">
        <w:rPr>
          <w:rFonts w:ascii="Times New Roman" w:eastAsia="宋体" w:hint="eastAsia"/>
          <w:color w:val="000000"/>
          <w:kern w:val="2"/>
          <w:szCs w:val="24"/>
        </w:rPr>
        <w:t>倍，装卸用管的最小爆破压力应大于</w:t>
      </w:r>
      <w:r w:rsidRPr="00180378">
        <w:rPr>
          <w:rFonts w:ascii="Times New Roman" w:eastAsia="宋体"/>
          <w:color w:val="000000"/>
          <w:kern w:val="2"/>
          <w:szCs w:val="24"/>
        </w:rPr>
        <w:t>4</w:t>
      </w:r>
      <w:r w:rsidRPr="00180378">
        <w:rPr>
          <w:rFonts w:ascii="Times New Roman" w:eastAsia="宋体" w:hint="eastAsia"/>
          <w:color w:val="000000"/>
          <w:kern w:val="2"/>
          <w:szCs w:val="24"/>
        </w:rPr>
        <w:t>倍的公称压力，装卸用管制造单位需注明软管的设计使用寿命</w:t>
      </w:r>
      <w:r w:rsidR="00FF3726">
        <w:rPr>
          <w:rFonts w:ascii="Times New Roman" w:eastAsia="宋体" w:hint="eastAsia"/>
          <w:color w:val="000000"/>
          <w:kern w:val="2"/>
          <w:szCs w:val="24"/>
        </w:rPr>
        <w:t>；</w:t>
      </w:r>
    </w:p>
    <w:p w14:paraId="5A885C6D" w14:textId="418B3324" w:rsidR="00E92C40" w:rsidRPr="00180378" w:rsidRDefault="00EF02E5" w:rsidP="00180378">
      <w:pPr>
        <w:pStyle w:val="a5"/>
        <w:numPr>
          <w:ilvl w:val="0"/>
          <w:numId w:val="41"/>
        </w:numPr>
        <w:spacing w:beforeLines="0" w:before="0" w:afterLines="0" w:after="0"/>
        <w:rPr>
          <w:rFonts w:ascii="Times New Roman" w:eastAsia="宋体"/>
          <w:color w:val="000000"/>
          <w:kern w:val="2"/>
          <w:szCs w:val="24"/>
        </w:rPr>
      </w:pPr>
      <w:r w:rsidRPr="00180378">
        <w:rPr>
          <w:rFonts w:ascii="Times New Roman" w:eastAsia="宋体" w:hint="eastAsia"/>
          <w:color w:val="000000"/>
          <w:kern w:val="2"/>
          <w:szCs w:val="24"/>
        </w:rPr>
        <w:t>充装单位或者使用单位对装卸用管必须每年进行</w:t>
      </w:r>
      <w:r w:rsidRPr="00180378">
        <w:rPr>
          <w:rFonts w:ascii="Times New Roman" w:eastAsia="宋体"/>
          <w:color w:val="000000"/>
          <w:kern w:val="2"/>
          <w:szCs w:val="24"/>
        </w:rPr>
        <w:t>1</w:t>
      </w:r>
      <w:r w:rsidRPr="00180378">
        <w:rPr>
          <w:rFonts w:ascii="Times New Roman" w:eastAsia="宋体" w:hint="eastAsia"/>
          <w:color w:val="000000"/>
          <w:kern w:val="2"/>
          <w:szCs w:val="24"/>
        </w:rPr>
        <w:t>次耐压试验，试验压力为装卸用管公称压力的</w:t>
      </w:r>
      <w:r w:rsidRPr="00180378">
        <w:rPr>
          <w:rFonts w:ascii="Times New Roman" w:eastAsia="宋体"/>
          <w:color w:val="000000"/>
          <w:kern w:val="2"/>
          <w:szCs w:val="24"/>
        </w:rPr>
        <w:t>1.5</w:t>
      </w:r>
      <w:r w:rsidRPr="00180378">
        <w:rPr>
          <w:rFonts w:ascii="Times New Roman" w:eastAsia="宋体" w:hint="eastAsia"/>
          <w:color w:val="000000"/>
          <w:kern w:val="2"/>
          <w:szCs w:val="24"/>
        </w:rPr>
        <w:t>倍，试验结果要有记录和试验人员的签字。</w:t>
      </w:r>
    </w:p>
    <w:p w14:paraId="3C4EB151" w14:textId="77777777" w:rsidR="00E92C40" w:rsidRDefault="00EF02E5">
      <w:pPr>
        <w:pStyle w:val="a4"/>
        <w:rPr>
          <w:color w:val="000000"/>
        </w:rPr>
      </w:pPr>
      <w:bookmarkStart w:id="141" w:name="_Toc327891135"/>
      <w:bookmarkStart w:id="142" w:name="_Toc327948147"/>
      <w:bookmarkStart w:id="143" w:name="_Toc327952188"/>
      <w:bookmarkStart w:id="144" w:name="_Toc328064382"/>
      <w:bookmarkStart w:id="145" w:name="_Toc328064805"/>
      <w:bookmarkStart w:id="146" w:name="_Toc81233562"/>
      <w:r>
        <w:rPr>
          <w:rFonts w:hint="eastAsia"/>
          <w:color w:val="000000"/>
        </w:rPr>
        <w:t>钢瓶储存区</w:t>
      </w:r>
      <w:bookmarkEnd w:id="141"/>
      <w:bookmarkEnd w:id="142"/>
      <w:bookmarkEnd w:id="143"/>
      <w:bookmarkEnd w:id="144"/>
      <w:bookmarkEnd w:id="145"/>
      <w:bookmarkEnd w:id="146"/>
    </w:p>
    <w:p w14:paraId="31F54399"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钢瓶的储存应有专人负责管理，建立并执行气瓶出入库制度。</w:t>
      </w:r>
    </w:p>
    <w:p w14:paraId="292F0FE3"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钢瓶应配备完好的瓶帽、防震圈等附件。钢瓶立式放置时应采取防止钢瓶倾倒的措施。</w:t>
      </w:r>
    </w:p>
    <w:p w14:paraId="0D814000" w14:textId="77777777" w:rsidR="00E92C40" w:rsidRDefault="00EF02E5" w:rsidP="00BE6078">
      <w:pPr>
        <w:pStyle w:val="affc"/>
        <w:ind w:left="0"/>
        <w:rPr>
          <w:color w:val="000000"/>
        </w:rPr>
      </w:pPr>
      <w:r>
        <w:rPr>
          <w:rFonts w:hint="eastAsia"/>
        </w:rPr>
        <w:t>钢瓶应为淡黄色，字体为黑色。</w:t>
      </w:r>
    </w:p>
    <w:p w14:paraId="3280ECE2" w14:textId="77777777" w:rsidR="00E92C40" w:rsidRDefault="00EF02E5" w:rsidP="00BE6078">
      <w:pPr>
        <w:pStyle w:val="affc"/>
        <w:ind w:left="0"/>
        <w:rPr>
          <w:color w:val="000000"/>
        </w:rPr>
      </w:pPr>
      <w:r>
        <w:rPr>
          <w:rFonts w:hint="eastAsia"/>
          <w:color w:val="000000"/>
        </w:rPr>
        <w:t>气瓶上应粘贴警示标签，警示标签的式样及应用应符合GB l6804的规定。</w:t>
      </w:r>
    </w:p>
    <w:p w14:paraId="170C6C60"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钢瓶应存放于阴凉、通风、干燥的库房或有棚的平台上。钢瓶储存区应按实瓶区、空瓶区分别布置并有明显标志，不得与</w:t>
      </w:r>
      <w:r>
        <w:rPr>
          <w:rFonts w:ascii="宋体" w:eastAsia="宋体" w:hAnsi="宋体"/>
          <w:color w:val="000000"/>
        </w:rPr>
        <w:t>卤素、酸类、强氧化剂</w:t>
      </w:r>
      <w:r>
        <w:rPr>
          <w:rFonts w:ascii="宋体" w:eastAsia="宋体" w:hAnsi="宋体" w:hint="eastAsia"/>
          <w:color w:val="000000"/>
        </w:rPr>
        <w:t>等禁忌物料混合贮存。</w:t>
      </w:r>
    </w:p>
    <w:p w14:paraId="52A66349"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实瓶区宜设置固定消防水喷淋系统。钢瓶储存区外部应设置消火栓，并配备移动式喷雾水枪。喷淋与水雾喷射范围应能满足覆盖实瓶区。</w:t>
      </w:r>
    </w:p>
    <w:p w14:paraId="543BBB23"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钢瓶储存区宜设置可容纳泄漏钢瓶的事故吸收水池。</w:t>
      </w:r>
    </w:p>
    <w:p w14:paraId="128722D5" w14:textId="77777777" w:rsidR="00E92C40" w:rsidRDefault="00EF02E5">
      <w:pPr>
        <w:pStyle w:val="a4"/>
        <w:rPr>
          <w:color w:val="000000"/>
        </w:rPr>
      </w:pPr>
      <w:bookmarkStart w:id="147" w:name="_Toc327891134"/>
      <w:bookmarkStart w:id="148" w:name="_Toc327948146"/>
      <w:bookmarkStart w:id="149" w:name="_Toc327952187"/>
      <w:bookmarkStart w:id="150" w:name="_Toc328064381"/>
      <w:bookmarkStart w:id="151" w:name="_Toc328064804"/>
      <w:bookmarkStart w:id="152" w:name="_Toc81233563"/>
      <w:r>
        <w:rPr>
          <w:rFonts w:hint="eastAsia"/>
          <w:color w:val="000000"/>
        </w:rPr>
        <w:t>储罐区</w:t>
      </w:r>
      <w:bookmarkEnd w:id="147"/>
      <w:bookmarkEnd w:id="148"/>
      <w:bookmarkEnd w:id="149"/>
      <w:bookmarkEnd w:id="150"/>
      <w:bookmarkEnd w:id="151"/>
      <w:bookmarkEnd w:id="152"/>
    </w:p>
    <w:p w14:paraId="654FF52E"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储罐的储存系数不应大于0.8。</w:t>
      </w:r>
    </w:p>
    <w:p w14:paraId="477DE191"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储罐应设液位计、压力表和安全阀等安全</w:t>
      </w:r>
      <w:r>
        <w:rPr>
          <w:rFonts w:ascii="宋体" w:eastAsia="宋体" w:hAnsi="宋体" w:hint="eastAsia"/>
          <w:color w:val="000000" w:themeColor="text1"/>
        </w:rPr>
        <w:t>附件</w:t>
      </w:r>
      <w:r>
        <w:rPr>
          <w:rFonts w:ascii="宋体" w:eastAsia="宋体" w:hAnsi="宋体" w:hint="eastAsia"/>
          <w:color w:val="000000"/>
        </w:rPr>
        <w:t>。</w:t>
      </w:r>
    </w:p>
    <w:p w14:paraId="43435B2E"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室外储罐应设置防止阳光直射的遮阳棚。</w:t>
      </w:r>
    </w:p>
    <w:p w14:paraId="0A0DD5F2"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室外储罐应设置固定消防水喷淋系统。室外储罐区外部应设置消火栓，并配备移动式喷雾水枪。构成重大危险源的储罐区尚应设置具有水雾喷射功能的消防水炮。喷淋与水雾喷射范围应能满足覆盖所有可能漏氨的部位，特别是管道法兰、阀门法兰和设备法兰等连接密封部位。</w:t>
      </w:r>
    </w:p>
    <w:p w14:paraId="4FD55D69"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构成重大危险源的储罐进出液管线应设置切断阀，一只切断阀应为具有远程控制功能的紧急切断阀。</w:t>
      </w:r>
    </w:p>
    <w:p w14:paraId="476D5D56"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室外储罐区四周应设置闭合的不燃烧实体围堤，围堤内区域应做防渗处理。围堤的有效容量不应小于其中最大储罐的容量。</w:t>
      </w:r>
    </w:p>
    <w:p w14:paraId="49A27E10" w14:textId="77777777" w:rsidR="00E92C40" w:rsidRDefault="00EF02E5" w:rsidP="00180378">
      <w:pPr>
        <w:pStyle w:val="a5"/>
        <w:spacing w:beforeLines="0" w:before="0" w:afterLines="0" w:after="0"/>
        <w:ind w:left="0"/>
        <w:rPr>
          <w:rFonts w:ascii="宋体" w:eastAsia="宋体" w:hAnsi="宋体"/>
          <w:color w:val="000000"/>
        </w:rPr>
      </w:pPr>
      <w:r>
        <w:rPr>
          <w:rFonts w:ascii="宋体" w:eastAsia="宋体" w:hAnsi="宋体" w:hint="eastAsia"/>
          <w:color w:val="000000"/>
        </w:rPr>
        <w:t>室外储罐区应设置消防车道，构成重大危险源的罐区宜设置环形消防车道。</w:t>
      </w:r>
    </w:p>
    <w:p w14:paraId="79CB1323" w14:textId="77777777" w:rsidR="00E92C40" w:rsidRDefault="00EF02E5">
      <w:pPr>
        <w:pStyle w:val="affffff4"/>
        <w:framePr w:wrap="around"/>
        <w:rPr>
          <w:color w:val="000000"/>
        </w:rPr>
      </w:pPr>
      <w:r>
        <w:rPr>
          <w:color w:val="000000"/>
        </w:rPr>
        <w:t>_________________________________</w:t>
      </w:r>
    </w:p>
    <w:sectPr w:rsidR="00E92C40">
      <w:headerReference w:type="even" r:id="rId13"/>
      <w:headerReference w:type="default" r:id="rId14"/>
      <w:footerReference w:type="even" r:id="rId15"/>
      <w:footerReference w:type="default" r:id="rId16"/>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4DE0A" w14:textId="77777777" w:rsidR="00DE3709" w:rsidRDefault="00DE3709">
      <w:r>
        <w:separator/>
      </w:r>
    </w:p>
  </w:endnote>
  <w:endnote w:type="continuationSeparator" w:id="0">
    <w:p w14:paraId="6CF47A94" w14:textId="77777777" w:rsidR="00DE3709" w:rsidRDefault="00DE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77D4" w14:textId="03A5DBA4" w:rsidR="00E92C40" w:rsidRDefault="00EF02E5">
    <w:pPr>
      <w:pStyle w:val="aff9"/>
    </w:pPr>
    <w:r>
      <w:rPr>
        <w:rStyle w:val="affffff0"/>
      </w:rPr>
      <w:fldChar w:fldCharType="begin"/>
    </w:r>
    <w:r>
      <w:rPr>
        <w:rStyle w:val="affffff0"/>
      </w:rPr>
      <w:instrText xml:space="preserve"> PAGE </w:instrText>
    </w:r>
    <w:r>
      <w:rPr>
        <w:rStyle w:val="affffff0"/>
      </w:rPr>
      <w:fldChar w:fldCharType="separate"/>
    </w:r>
    <w:r w:rsidR="00FB0575">
      <w:rPr>
        <w:rStyle w:val="affffff0"/>
        <w:noProof/>
      </w:rPr>
      <w:t>II</w:t>
    </w:r>
    <w:r>
      <w:rPr>
        <w:rStyle w:val="affffff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9F4B" w14:textId="1FB0FD8D" w:rsidR="00E92C40" w:rsidRDefault="00EF02E5">
    <w:pPr>
      <w:pStyle w:val="aff4"/>
    </w:pPr>
    <w:r>
      <w:fldChar w:fldCharType="begin"/>
    </w:r>
    <w:r>
      <w:instrText xml:space="preserve"> PAGE  \* MERGEFORMAT </w:instrText>
    </w:r>
    <w:r>
      <w:fldChar w:fldCharType="separate"/>
    </w:r>
    <w:r w:rsidR="00FB0575">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CD556" w14:textId="4BAEFCA0" w:rsidR="00E92C40" w:rsidRDefault="00EF02E5">
    <w:pPr>
      <w:pStyle w:val="aff9"/>
      <w:jc w:val="both"/>
    </w:pPr>
    <w:r>
      <w:rPr>
        <w:rStyle w:val="affffff0"/>
      </w:rPr>
      <w:fldChar w:fldCharType="begin"/>
    </w:r>
    <w:r>
      <w:rPr>
        <w:rStyle w:val="affffff0"/>
      </w:rPr>
      <w:instrText xml:space="preserve"> PAGE </w:instrText>
    </w:r>
    <w:r>
      <w:rPr>
        <w:rStyle w:val="affffff0"/>
      </w:rPr>
      <w:fldChar w:fldCharType="separate"/>
    </w:r>
    <w:r w:rsidR="00FB0575">
      <w:rPr>
        <w:rStyle w:val="affffff0"/>
        <w:noProof/>
      </w:rPr>
      <w:t>6</w:t>
    </w:r>
    <w:r>
      <w:rPr>
        <w:rStyle w:val="affffff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229F9" w14:textId="193B52A7" w:rsidR="00E92C40" w:rsidRDefault="00EF02E5">
    <w:pPr>
      <w:pStyle w:val="aff4"/>
    </w:pPr>
    <w:r>
      <w:fldChar w:fldCharType="begin"/>
    </w:r>
    <w:r>
      <w:instrText xml:space="preserve"> PAGE  \* MERGEFORMAT </w:instrText>
    </w:r>
    <w:r>
      <w:fldChar w:fldCharType="separate"/>
    </w:r>
    <w:r w:rsidR="00FB057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B5AC0" w14:textId="77777777" w:rsidR="00DE3709" w:rsidRDefault="00DE3709">
      <w:r>
        <w:separator/>
      </w:r>
    </w:p>
  </w:footnote>
  <w:footnote w:type="continuationSeparator" w:id="0">
    <w:p w14:paraId="58848F94" w14:textId="77777777" w:rsidR="00DE3709" w:rsidRDefault="00DE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CB86" w14:textId="316796A7" w:rsidR="00E92C40" w:rsidRDefault="00EF02E5">
    <w:pPr>
      <w:pStyle w:val="aff5"/>
    </w:pPr>
    <w:r>
      <w:t>DB</w:t>
    </w:r>
    <w:r>
      <w:rPr>
        <w:rFonts w:hint="eastAsia"/>
      </w:rPr>
      <w:t>11</w:t>
    </w:r>
    <w:r>
      <w:t>/</w:t>
    </w:r>
    <w:r w:rsidR="00B152F3">
      <w:t>T</w:t>
    </w:r>
    <w:r>
      <w:t xml:space="preserve"> XXXXX</w:t>
    </w:r>
    <w:r>
      <w:t>—</w:t>
    </w:r>
    <w:r>
      <w:rPr>
        <w:rFonts w:hint="eastAsia"/>
      </w:rPr>
      <w:t>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5906" w14:textId="77777777" w:rsidR="00E92C40" w:rsidRDefault="00EF02E5">
    <w:pPr>
      <w:pStyle w:val="aff5"/>
    </w:pPr>
    <w:r>
      <w:t>DB</w:t>
    </w:r>
    <w:r>
      <w:rPr>
        <w:rFonts w:hint="eastAsia"/>
      </w:rPr>
      <w:t>11</w:t>
    </w:r>
    <w:r>
      <w:t>/ XXXXX</w:t>
    </w:r>
    <w:r>
      <w:t>—</w:t>
    </w:r>
    <w:r>
      <w:rPr>
        <w:rFonts w:hint="eastAsia"/>
      </w:rPr>
      <w:t>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687E" w14:textId="77777777" w:rsidR="00E92C40" w:rsidRDefault="00EF02E5">
    <w:pPr>
      <w:pStyle w:val="aff5"/>
      <w:jc w:val="both"/>
    </w:pPr>
    <w:r>
      <w:t>DB</w:t>
    </w:r>
    <w:r>
      <w:rPr>
        <w:rFonts w:hint="eastAsia"/>
      </w:rPr>
      <w:t>11</w:t>
    </w:r>
    <w:r>
      <w:t>/ XXXXX</w:t>
    </w:r>
    <w:r>
      <w:t>—</w:t>
    </w:r>
    <w:r>
      <w:rPr>
        <w:rFonts w:hint="eastAsia"/>
      </w:rPr>
      <w:t>2021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871A" w14:textId="77777777" w:rsidR="00E92C40" w:rsidRDefault="00EF02E5">
    <w:pPr>
      <w:pStyle w:val="aff5"/>
    </w:pPr>
    <w:r>
      <w:t>DB</w:t>
    </w:r>
    <w:r>
      <w:rPr>
        <w:rFonts w:hint="eastAsia"/>
      </w:rPr>
      <w:t>11</w:t>
    </w:r>
    <w:r>
      <w:t>/ XXXXX</w:t>
    </w:r>
    <w:r>
      <w:t>—</w:t>
    </w:r>
    <w:r>
      <w:rPr>
        <w:rFonts w:hint="eastAsia"/>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7CAE930C"/>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983844"/>
    <w:multiLevelType w:val="multilevel"/>
    <w:tmpl w:val="E54AD500"/>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F8D0F384"/>
    <w:lvl w:ilvl="0">
      <w:start w:val="1"/>
      <w:numFmt w:val="decimal"/>
      <w:lvlRestart w:val="0"/>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87683C1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5"/>
      <w:suff w:val="nothing"/>
      <w:lvlText w:val="%1.%2.%3　"/>
      <w:lvlJc w:val="left"/>
      <w:pPr>
        <w:ind w:left="1135" w:firstLine="0"/>
      </w:pPr>
      <w:rPr>
        <w:rFonts w:ascii="黑体" w:eastAsia="黑体" w:hAnsi="Times New Roman" w:hint="eastAsia"/>
        <w:b w:val="0"/>
        <w:i w:val="0"/>
        <w:color w:val="000000"/>
        <w:sz w:val="21"/>
      </w:rPr>
    </w:lvl>
    <w:lvl w:ilvl="3">
      <w:start w:val="1"/>
      <w:numFmt w:val="decimal"/>
      <w:pStyle w:val="3"/>
      <w:suff w:val="nothing"/>
      <w:lvlText w:val="%1.%2.%3.%4　"/>
      <w:lvlJc w:val="left"/>
      <w:pPr>
        <w:ind w:left="993"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2827D5B"/>
    <w:multiLevelType w:val="multilevel"/>
    <w:tmpl w:val="BA6681E2"/>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2E2333D8"/>
    <w:multiLevelType w:val="multilevel"/>
    <w:tmpl w:val="4BBAB78A"/>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15:restartNumberingAfterBreak="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B733A5F"/>
    <w:multiLevelType w:val="multilevel"/>
    <w:tmpl w:val="36B40DB4"/>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15:restartNumberingAfterBreak="0">
    <w:nsid w:val="5161482C"/>
    <w:multiLevelType w:val="hybridMultilevel"/>
    <w:tmpl w:val="5C1C03CA"/>
    <w:lvl w:ilvl="0" w:tplc="ABFED192">
      <w:start w:val="1"/>
      <w:numFmt w:val="lowerLetter"/>
      <w:lvlText w:val="%1)"/>
      <w:lvlJc w:val="left"/>
      <w:pPr>
        <w:tabs>
          <w:tab w:val="num" w:pos="780"/>
        </w:tabs>
        <w:ind w:left="780" w:hanging="360"/>
      </w:pPr>
      <w:rPr>
        <w:rFonts w:ascii="宋体" w:eastAsia="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15:restartNumberingAfterBreak="0">
    <w:nsid w:val="60B55DC2"/>
    <w:multiLevelType w:val="multilevel"/>
    <w:tmpl w:val="9DCC486E"/>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15:restartNumberingAfterBreak="0">
    <w:nsid w:val="646260FA"/>
    <w:multiLevelType w:val="multilevel"/>
    <w:tmpl w:val="13C27B2A"/>
    <w:lvl w:ilvl="0">
      <w:start w:val="1"/>
      <w:numFmt w:val="decimal"/>
      <w:pStyle w:val="af4"/>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57D3FBC"/>
    <w:multiLevelType w:val="multilevel"/>
    <w:tmpl w:val="95FA0F16"/>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65C44BA1"/>
    <w:multiLevelType w:val="hybridMultilevel"/>
    <w:tmpl w:val="5C1C03CA"/>
    <w:lvl w:ilvl="0" w:tplc="ABFED192">
      <w:start w:val="1"/>
      <w:numFmt w:val="lowerLetter"/>
      <w:lvlText w:val="%1)"/>
      <w:lvlJc w:val="left"/>
      <w:pPr>
        <w:tabs>
          <w:tab w:val="num" w:pos="780"/>
        </w:tabs>
        <w:ind w:left="780" w:hanging="360"/>
      </w:pPr>
      <w:rPr>
        <w:rFonts w:ascii="宋体" w:eastAsia="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15:restartNumberingAfterBreak="0">
    <w:nsid w:val="6D6C07CD"/>
    <w:multiLevelType w:val="multilevel"/>
    <w:tmpl w:val="7A408B34"/>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0" w15:restartNumberingAfterBreak="0">
    <w:nsid w:val="6DBF04F4"/>
    <w:multiLevelType w:val="multilevel"/>
    <w:tmpl w:val="2F3A49C2"/>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1" w15:restartNumberingAfterBreak="0">
    <w:nsid w:val="71B56B7F"/>
    <w:multiLevelType w:val="hybridMultilevel"/>
    <w:tmpl w:val="5C1C03CA"/>
    <w:lvl w:ilvl="0" w:tplc="ABFED192">
      <w:start w:val="1"/>
      <w:numFmt w:val="lowerLetter"/>
      <w:lvlText w:val="%1)"/>
      <w:lvlJc w:val="left"/>
      <w:pPr>
        <w:tabs>
          <w:tab w:val="num" w:pos="780"/>
        </w:tabs>
        <w:ind w:left="780" w:hanging="360"/>
      </w:pPr>
      <w:rPr>
        <w:rFonts w:ascii="宋体" w:eastAsia="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15:restartNumberingAfterBreak="0">
    <w:nsid w:val="7D963F46"/>
    <w:multiLevelType w:val="multilevel"/>
    <w:tmpl w:val="28DE49A4"/>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3" w15:restartNumberingAfterBreak="0">
    <w:nsid w:val="7F5E02F8"/>
    <w:multiLevelType w:val="hybridMultilevel"/>
    <w:tmpl w:val="5C1C03CA"/>
    <w:lvl w:ilvl="0" w:tplc="ABFED192">
      <w:start w:val="1"/>
      <w:numFmt w:val="lowerLetter"/>
      <w:lvlText w:val="%1)"/>
      <w:lvlJc w:val="left"/>
      <w:pPr>
        <w:tabs>
          <w:tab w:val="num" w:pos="780"/>
        </w:tabs>
        <w:ind w:left="780" w:hanging="360"/>
      </w:pPr>
      <w:rPr>
        <w:rFonts w:ascii="宋体" w:eastAsia="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2"/>
  </w:num>
  <w:num w:numId="2">
    <w:abstractNumId w:val="20"/>
  </w:num>
  <w:num w:numId="3">
    <w:abstractNumId w:val="0"/>
  </w:num>
  <w:num w:numId="4">
    <w:abstractNumId w:val="9"/>
  </w:num>
  <w:num w:numId="5">
    <w:abstractNumId w:val="5"/>
  </w:num>
  <w:num w:numId="6">
    <w:abstractNumId w:val="13"/>
  </w:num>
  <w:num w:numId="7">
    <w:abstractNumId w:val="15"/>
  </w:num>
  <w:num w:numId="8">
    <w:abstractNumId w:val="8"/>
  </w:num>
  <w:num w:numId="9">
    <w:abstractNumId w:val="17"/>
  </w:num>
  <w:num w:numId="10">
    <w:abstractNumId w:val="19"/>
  </w:num>
  <w:num w:numId="11">
    <w:abstractNumId w:val="1"/>
  </w:num>
  <w:num w:numId="12">
    <w:abstractNumId w:val="11"/>
  </w:num>
  <w:num w:numId="13">
    <w:abstractNumId w:val="4"/>
  </w:num>
  <w:num w:numId="14">
    <w:abstractNumId w:val="16"/>
  </w:num>
  <w:num w:numId="15">
    <w:abstractNumId w:val="12"/>
  </w:num>
  <w:num w:numId="16">
    <w:abstractNumId w:val="6"/>
  </w:num>
  <w:num w:numId="17">
    <w:abstractNumId w:val="7"/>
  </w:num>
  <w:num w:numId="18">
    <w:abstractNumId w:val="3"/>
  </w:num>
  <w:num w:numId="19">
    <w:abstractNumId w:val="6"/>
  </w:num>
  <w:num w:numId="20">
    <w:abstractNumId w:val="6"/>
  </w:num>
  <w:num w:numId="21">
    <w:abstractNumId w:val="6"/>
  </w:num>
  <w:num w:numId="22">
    <w:abstractNumId w:val="6"/>
  </w:num>
  <w:num w:numId="23">
    <w:abstractNumId w:val="6"/>
  </w:num>
  <w:num w:numId="24">
    <w:abstractNumId w:val="23"/>
  </w:num>
  <w:num w:numId="25">
    <w:abstractNumId w:val="6"/>
  </w:num>
  <w:num w:numId="26">
    <w:abstractNumId w:val="6"/>
  </w:num>
  <w:num w:numId="27">
    <w:abstractNumId w:val="6"/>
  </w:num>
  <w:num w:numId="28">
    <w:abstractNumId w:val="6"/>
  </w:num>
  <w:num w:numId="29">
    <w:abstractNumId w:val="10"/>
  </w:num>
  <w:num w:numId="30">
    <w:abstractNumId w:val="12"/>
  </w:num>
  <w:num w:numId="31">
    <w:abstractNumId w:val="12"/>
  </w:num>
  <w:num w:numId="32">
    <w:abstractNumId w:val="22"/>
  </w:num>
  <w:num w:numId="33">
    <w:abstractNumId w:val="6"/>
  </w:num>
  <w:num w:numId="34">
    <w:abstractNumId w:val="6"/>
  </w:num>
  <w:num w:numId="35">
    <w:abstractNumId w:val="18"/>
  </w:num>
  <w:num w:numId="36">
    <w:abstractNumId w:val="6"/>
  </w:num>
  <w:num w:numId="37">
    <w:abstractNumId w:val="6"/>
  </w:num>
  <w:num w:numId="38">
    <w:abstractNumId w:val="6"/>
  </w:num>
  <w:num w:numId="39">
    <w:abstractNumId w:val="21"/>
  </w:num>
  <w:num w:numId="40">
    <w:abstractNumId w:val="6"/>
  </w:num>
  <w:num w:numId="41">
    <w:abstractNumId w:val="14"/>
  </w:num>
  <w:num w:numId="4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40"/>
    <w:rsid w:val="000F70D2"/>
    <w:rsid w:val="00173192"/>
    <w:rsid w:val="00180378"/>
    <w:rsid w:val="003A3333"/>
    <w:rsid w:val="005558D1"/>
    <w:rsid w:val="006017AC"/>
    <w:rsid w:val="00655319"/>
    <w:rsid w:val="00796AEB"/>
    <w:rsid w:val="008B3799"/>
    <w:rsid w:val="00B152F3"/>
    <w:rsid w:val="00B95B37"/>
    <w:rsid w:val="00BD17D9"/>
    <w:rsid w:val="00BE6078"/>
    <w:rsid w:val="00D509CD"/>
    <w:rsid w:val="00D5787F"/>
    <w:rsid w:val="00DA2875"/>
    <w:rsid w:val="00DE3709"/>
    <w:rsid w:val="00E92C40"/>
    <w:rsid w:val="00EA0A0C"/>
    <w:rsid w:val="00EA3907"/>
    <w:rsid w:val="00EF02E5"/>
    <w:rsid w:val="00FB0575"/>
    <w:rsid w:val="00FE0280"/>
    <w:rsid w:val="00FF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CCC9D9D"/>
  <w15:docId w15:val="{7823BE34-0CAE-46F7-BE57-819CFAEE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
    <w:name w:val="Normal"/>
    <w:qFormat/>
    <w:pPr>
      <w:widowControl w:val="0"/>
      <w:jc w:val="both"/>
    </w:pPr>
    <w:rPr>
      <w:kern w:val="2"/>
      <w:sz w:val="21"/>
      <w:szCs w:val="24"/>
    </w:rPr>
  </w:style>
  <w:style w:type="paragraph" w:styleId="1">
    <w:name w:val="heading 1"/>
    <w:basedOn w:val="aff"/>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ff"/>
    <w:next w:val="aff"/>
    <w:qFormat/>
    <w:pPr>
      <w:keepNext/>
      <w:keepLines/>
      <w:spacing w:before="260" w:after="260" w:line="416" w:lineRule="auto"/>
      <w:outlineLvl w:val="1"/>
    </w:pPr>
    <w:rPr>
      <w:rFonts w:ascii="Arial" w:eastAsia="黑体" w:hAnsi="Arial"/>
      <w:b/>
      <w:bCs/>
      <w:sz w:val="32"/>
      <w:szCs w:val="32"/>
    </w:rPr>
  </w:style>
  <w:style w:type="paragraph" w:styleId="30">
    <w:name w:val="heading 3"/>
    <w:basedOn w:val="aff"/>
    <w:next w:val="aff"/>
    <w:qFormat/>
    <w:pPr>
      <w:keepNext/>
      <w:keepLines/>
      <w:spacing w:before="260" w:after="260" w:line="416" w:lineRule="auto"/>
      <w:outlineLvl w:val="2"/>
    </w:pPr>
    <w:rPr>
      <w:b/>
      <w:bCs/>
      <w:sz w:val="32"/>
      <w:szCs w:val="32"/>
    </w:rPr>
  </w:style>
  <w:style w:type="paragraph" w:styleId="4">
    <w:name w:val="heading 4"/>
    <w:basedOn w:val="aff"/>
    <w:next w:val="aff"/>
    <w:qFormat/>
    <w:pPr>
      <w:keepNext/>
      <w:keepLines/>
      <w:spacing w:before="280" w:after="290" w:line="376" w:lineRule="auto"/>
      <w:outlineLvl w:val="3"/>
    </w:pPr>
    <w:rPr>
      <w:rFonts w:ascii="Arial" w:eastAsia="黑体" w:hAnsi="Arial"/>
      <w:b/>
      <w:bCs/>
      <w:sz w:val="28"/>
      <w:szCs w:val="28"/>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customStyle="1" w:styleId="aff3">
    <w:name w:val="段"/>
    <w:link w:val="Char"/>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3"/>
    <w:rPr>
      <w:rFonts w:ascii="宋体"/>
      <w:noProof/>
      <w:sz w:val="21"/>
      <w:lang w:val="en-US" w:eastAsia="zh-CN" w:bidi="ar-SA"/>
    </w:rPr>
  </w:style>
  <w:style w:type="paragraph" w:customStyle="1" w:styleId="a4">
    <w:name w:val="一级条标题"/>
    <w:next w:val="aff3"/>
    <w:link w:val="Char0"/>
    <w:pPr>
      <w:numPr>
        <w:ilvl w:val="1"/>
        <w:numId w:val="16"/>
      </w:numPr>
      <w:spacing w:beforeLines="50" w:before="156" w:afterLines="50" w:after="156"/>
      <w:outlineLvl w:val="2"/>
    </w:pPr>
    <w:rPr>
      <w:rFonts w:ascii="黑体" w:eastAsia="黑体"/>
      <w:sz w:val="21"/>
      <w:szCs w:val="21"/>
    </w:rPr>
  </w:style>
  <w:style w:type="paragraph" w:customStyle="1" w:styleId="aff4">
    <w:name w:val="标准书脚_奇数页"/>
    <w:pPr>
      <w:spacing w:before="120"/>
      <w:ind w:right="198"/>
      <w:jc w:val="right"/>
    </w:pPr>
    <w:rPr>
      <w:rFonts w:ascii="宋体"/>
      <w:sz w:val="18"/>
      <w:szCs w:val="18"/>
    </w:rPr>
  </w:style>
  <w:style w:type="paragraph" w:customStyle="1" w:styleId="aff5">
    <w:name w:val="标准书眉_奇数页"/>
    <w:next w:val="aff"/>
    <w:pPr>
      <w:tabs>
        <w:tab w:val="center" w:pos="4154"/>
        <w:tab w:val="right" w:pos="8306"/>
      </w:tabs>
      <w:spacing w:after="220"/>
      <w:jc w:val="right"/>
    </w:pPr>
    <w:rPr>
      <w:rFonts w:ascii="黑体" w:eastAsia="黑体"/>
      <w:noProof/>
      <w:sz w:val="21"/>
      <w:szCs w:val="21"/>
    </w:rPr>
  </w:style>
  <w:style w:type="paragraph" w:customStyle="1" w:styleId="a3">
    <w:name w:val="章标题"/>
    <w:next w:val="aff3"/>
    <w:pPr>
      <w:numPr>
        <w:numId w:val="16"/>
      </w:numPr>
      <w:spacing w:beforeLines="100" w:before="312" w:afterLines="100" w:after="312"/>
      <w:jc w:val="both"/>
      <w:outlineLvl w:val="1"/>
    </w:pPr>
    <w:rPr>
      <w:rFonts w:ascii="黑体" w:eastAsia="黑体"/>
      <w:sz w:val="21"/>
    </w:rPr>
  </w:style>
  <w:style w:type="paragraph" w:customStyle="1" w:styleId="a5">
    <w:name w:val="二级条标题"/>
    <w:basedOn w:val="a4"/>
    <w:next w:val="aff3"/>
    <w:pPr>
      <w:numPr>
        <w:ilvl w:val="2"/>
      </w:numPr>
      <w:spacing w:before="50" w:after="50"/>
      <w:outlineLvl w:val="3"/>
    </w:pPr>
  </w:style>
  <w:style w:type="paragraph" w:customStyle="1" w:styleId="20">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pPr>
      <w:widowControl w:val="0"/>
      <w:numPr>
        <w:numId w:val="4"/>
      </w:numPr>
      <w:jc w:val="both"/>
    </w:pPr>
    <w:rPr>
      <w:rFonts w:ascii="宋体"/>
      <w:sz w:val="21"/>
    </w:rPr>
  </w:style>
  <w:style w:type="paragraph" w:customStyle="1" w:styleId="ac">
    <w:name w:val="列项●（二级）"/>
    <w:pPr>
      <w:numPr>
        <w:ilvl w:val="1"/>
        <w:numId w:val="4"/>
      </w:numPr>
      <w:tabs>
        <w:tab w:val="left" w:pos="840"/>
      </w:tabs>
      <w:jc w:val="both"/>
    </w:pPr>
    <w:rPr>
      <w:rFonts w:ascii="宋体"/>
      <w:sz w:val="21"/>
    </w:rPr>
  </w:style>
  <w:style w:type="paragraph" w:customStyle="1" w:styleId="aff6">
    <w:name w:val="目次、标准名称标题"/>
    <w:basedOn w:val="aff"/>
    <w:next w:val="aff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7">
    <w:name w:val="三级条标题"/>
    <w:basedOn w:val="a5"/>
    <w:next w:val="aff3"/>
    <w:pPr>
      <w:numPr>
        <w:ilvl w:val="0"/>
        <w:numId w:val="0"/>
      </w:numPr>
      <w:outlineLvl w:val="4"/>
    </w:pPr>
  </w:style>
  <w:style w:type="paragraph" w:customStyle="1" w:styleId="a0">
    <w:name w:val="示例"/>
    <w:next w:val="aff8"/>
    <w:pPr>
      <w:widowControl w:val="0"/>
      <w:numPr>
        <w:numId w:val="1"/>
      </w:numPr>
      <w:jc w:val="both"/>
    </w:pPr>
    <w:rPr>
      <w:rFonts w:ascii="宋体"/>
      <w:sz w:val="18"/>
      <w:szCs w:val="18"/>
    </w:rPr>
  </w:style>
  <w:style w:type="paragraph" w:customStyle="1" w:styleId="af0">
    <w:name w:val="数字编号列项（二级）"/>
    <w:pPr>
      <w:numPr>
        <w:ilvl w:val="1"/>
        <w:numId w:val="15"/>
      </w:numPr>
      <w:jc w:val="both"/>
    </w:pPr>
    <w:rPr>
      <w:rFonts w:ascii="宋体"/>
      <w:sz w:val="21"/>
    </w:rPr>
  </w:style>
  <w:style w:type="paragraph" w:customStyle="1" w:styleId="a6">
    <w:name w:val="四级条标题"/>
    <w:basedOn w:val="aff7"/>
    <w:next w:val="aff3"/>
    <w:pPr>
      <w:numPr>
        <w:ilvl w:val="4"/>
        <w:numId w:val="16"/>
      </w:numPr>
      <w:outlineLvl w:val="5"/>
    </w:pPr>
  </w:style>
  <w:style w:type="paragraph" w:customStyle="1" w:styleId="a7">
    <w:name w:val="五级条标题"/>
    <w:basedOn w:val="a6"/>
    <w:next w:val="aff3"/>
    <w:pPr>
      <w:numPr>
        <w:ilvl w:val="5"/>
      </w:numPr>
      <w:outlineLvl w:val="6"/>
    </w:pPr>
  </w:style>
  <w:style w:type="paragraph" w:styleId="aff9">
    <w:name w:val="footer"/>
    <w:basedOn w:val="aff"/>
    <w:pPr>
      <w:snapToGrid w:val="0"/>
      <w:ind w:rightChars="100" w:right="210"/>
      <w:jc w:val="right"/>
    </w:pPr>
    <w:rPr>
      <w:sz w:val="18"/>
      <w:szCs w:val="18"/>
    </w:rPr>
  </w:style>
  <w:style w:type="paragraph" w:styleId="affa">
    <w:name w:val="header"/>
    <w:basedOn w:val="aff"/>
    <w:pPr>
      <w:snapToGrid w:val="0"/>
      <w:jc w:val="left"/>
    </w:pPr>
    <w:rPr>
      <w:sz w:val="18"/>
      <w:szCs w:val="18"/>
    </w:rPr>
  </w:style>
  <w:style w:type="paragraph" w:customStyle="1" w:styleId="afe">
    <w:name w:val="注："/>
    <w:next w:val="aff3"/>
    <w:pPr>
      <w:widowControl w:val="0"/>
      <w:numPr>
        <w:numId w:val="2"/>
      </w:numPr>
      <w:autoSpaceDE w:val="0"/>
      <w:autoSpaceDN w:val="0"/>
      <w:jc w:val="both"/>
    </w:pPr>
    <w:rPr>
      <w:rFonts w:ascii="宋体"/>
      <w:sz w:val="18"/>
      <w:szCs w:val="18"/>
    </w:rPr>
  </w:style>
  <w:style w:type="paragraph" w:customStyle="1" w:styleId="a">
    <w:name w:val="注×："/>
    <w:pPr>
      <w:widowControl w:val="0"/>
      <w:numPr>
        <w:numId w:val="3"/>
      </w:numPr>
      <w:autoSpaceDE w:val="0"/>
      <w:autoSpaceDN w:val="0"/>
      <w:jc w:val="both"/>
    </w:pPr>
    <w:rPr>
      <w:rFonts w:ascii="宋体"/>
      <w:sz w:val="18"/>
      <w:szCs w:val="18"/>
    </w:rPr>
  </w:style>
  <w:style w:type="paragraph" w:customStyle="1" w:styleId="af">
    <w:name w:val="字母编号列项（一级）"/>
    <w:pPr>
      <w:numPr>
        <w:numId w:val="15"/>
      </w:numPr>
      <w:jc w:val="both"/>
    </w:pPr>
    <w:rPr>
      <w:rFonts w:ascii="宋体"/>
      <w:sz w:val="21"/>
    </w:rPr>
  </w:style>
  <w:style w:type="paragraph" w:customStyle="1" w:styleId="ad">
    <w:name w:val="列项◆（三级）"/>
    <w:basedOn w:val="aff"/>
    <w:pPr>
      <w:numPr>
        <w:ilvl w:val="2"/>
        <w:numId w:val="4"/>
      </w:numPr>
    </w:pPr>
    <w:rPr>
      <w:rFonts w:ascii="宋体"/>
      <w:szCs w:val="21"/>
    </w:rPr>
  </w:style>
  <w:style w:type="paragraph" w:customStyle="1" w:styleId="affb">
    <w:name w:val="编号列项（三级）"/>
    <w:rPr>
      <w:rFonts w:ascii="宋体"/>
      <w:sz w:val="21"/>
    </w:rPr>
  </w:style>
  <w:style w:type="paragraph" w:customStyle="1" w:styleId="af1">
    <w:name w:val="示例×："/>
    <w:basedOn w:val="a3"/>
    <w:qFormat/>
    <w:pPr>
      <w:numPr>
        <w:numId w:val="6"/>
      </w:numPr>
      <w:spacing w:beforeLines="0" w:before="0" w:afterLines="0" w:after="0"/>
      <w:outlineLvl w:val="9"/>
    </w:pPr>
    <w:rPr>
      <w:rFonts w:ascii="宋体" w:eastAsia="宋体"/>
      <w:sz w:val="18"/>
      <w:szCs w:val="18"/>
    </w:rPr>
  </w:style>
  <w:style w:type="paragraph" w:customStyle="1" w:styleId="affc">
    <w:name w:val="二级无"/>
    <w:basedOn w:val="a5"/>
    <w:pPr>
      <w:spacing w:beforeLines="0" w:before="0" w:afterLines="0" w:after="0"/>
    </w:pPr>
    <w:rPr>
      <w:rFonts w:ascii="宋体" w:eastAsia="宋体"/>
    </w:rPr>
  </w:style>
  <w:style w:type="paragraph" w:customStyle="1" w:styleId="a8">
    <w:name w:val="注：（正文）"/>
    <w:basedOn w:val="afe"/>
    <w:next w:val="aff3"/>
    <w:pPr>
      <w:numPr>
        <w:numId w:val="17"/>
      </w:numPr>
    </w:pPr>
  </w:style>
  <w:style w:type="paragraph" w:customStyle="1" w:styleId="a2">
    <w:name w:val="注×：（正文）"/>
    <w:pPr>
      <w:numPr>
        <w:numId w:val="5"/>
      </w:numPr>
      <w:jc w:val="both"/>
    </w:pPr>
    <w:rPr>
      <w:rFonts w:ascii="宋体"/>
      <w:sz w:val="18"/>
      <w:szCs w:val="18"/>
    </w:rPr>
  </w:style>
  <w:style w:type="paragraph" w:customStyle="1" w:styleId="affd">
    <w:name w:val="标准标志"/>
    <w:next w:val="aff"/>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e">
    <w:name w:val="标准称谓"/>
    <w:next w:val="af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
    <w:name w:val="标准书脚_偶数页"/>
    <w:pPr>
      <w:spacing w:before="120"/>
      <w:ind w:left="221"/>
    </w:pPr>
    <w:rPr>
      <w:rFonts w:ascii="宋体"/>
      <w:sz w:val="18"/>
      <w:szCs w:val="18"/>
    </w:rPr>
  </w:style>
  <w:style w:type="paragraph" w:customStyle="1" w:styleId="afff0">
    <w:name w:val="标准书眉_偶数页"/>
    <w:basedOn w:val="aff5"/>
    <w:next w:val="aff"/>
    <w:pPr>
      <w:jc w:val="left"/>
    </w:pPr>
  </w:style>
  <w:style w:type="paragraph" w:customStyle="1" w:styleId="afff1">
    <w:name w:val="标准书眉一"/>
    <w:pPr>
      <w:jc w:val="both"/>
    </w:pPr>
  </w:style>
  <w:style w:type="paragraph" w:customStyle="1" w:styleId="afff2">
    <w:name w:val="参考文献"/>
    <w:basedOn w:val="aff"/>
    <w:next w:val="aff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3">
    <w:name w:val="参考文献、索引标题"/>
    <w:basedOn w:val="aff"/>
    <w:next w:val="aff3"/>
    <w:pPr>
      <w:keepNext/>
      <w:pageBreakBefore/>
      <w:widowControl/>
      <w:shd w:val="clear" w:color="FFFFFF" w:fill="FFFFFF"/>
      <w:spacing w:before="640" w:after="200"/>
      <w:jc w:val="center"/>
      <w:outlineLvl w:val="0"/>
    </w:pPr>
    <w:rPr>
      <w:rFonts w:ascii="黑体" w:eastAsia="黑体"/>
      <w:kern w:val="0"/>
      <w:szCs w:val="20"/>
    </w:rPr>
  </w:style>
  <w:style w:type="character" w:styleId="afff4">
    <w:name w:val="Hyperlink"/>
    <w:uiPriority w:val="99"/>
    <w:rPr>
      <w:noProof/>
      <w:color w:val="0000FF"/>
      <w:spacing w:val="0"/>
      <w:w w:val="100"/>
      <w:szCs w:val="21"/>
      <w:u w:val="single"/>
    </w:rPr>
  </w:style>
  <w:style w:type="character" w:customStyle="1" w:styleId="afff5">
    <w:name w:val="发布"/>
    <w:rPr>
      <w:rFonts w:ascii="黑体" w:eastAsia="黑体"/>
      <w:spacing w:val="85"/>
      <w:w w:val="100"/>
      <w:position w:val="3"/>
      <w:sz w:val="28"/>
      <w:szCs w:val="28"/>
    </w:rPr>
  </w:style>
  <w:style w:type="paragraph" w:customStyle="1" w:styleId="afff6">
    <w:name w:val="发布部门"/>
    <w:next w:val="aff3"/>
    <w:pPr>
      <w:framePr w:w="7938" w:h="1134" w:hRule="exact" w:hSpace="125" w:vSpace="181" w:wrap="around" w:vAnchor="page" w:hAnchor="page" w:x="2150" w:y="14630" w:anchorLock="1"/>
      <w:jc w:val="center"/>
    </w:pPr>
    <w:rPr>
      <w:rFonts w:ascii="宋体"/>
      <w:b/>
      <w:spacing w:val="20"/>
      <w:w w:val="135"/>
      <w:sz w:val="28"/>
    </w:rPr>
  </w:style>
  <w:style w:type="paragraph" w:customStyle="1" w:styleId="afff7">
    <w:name w:val="发布日期"/>
    <w:pPr>
      <w:framePr w:w="3997" w:h="471" w:hRule="exact" w:vSpace="181" w:wrap="around" w:hAnchor="page" w:x="7089" w:y="14097" w:anchorLock="1"/>
    </w:pPr>
    <w:rPr>
      <w:rFonts w:eastAsia="黑体"/>
      <w:sz w:val="28"/>
    </w:rPr>
  </w:style>
  <w:style w:type="paragraph" w:customStyle="1" w:styleId="afff8">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fff9">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a">
    <w:name w:val="封面标准英文名称"/>
    <w:basedOn w:val="afff9"/>
    <w:pPr>
      <w:framePr w:wrap="around"/>
      <w:spacing w:before="370" w:line="400" w:lineRule="exact"/>
    </w:pPr>
    <w:rPr>
      <w:rFonts w:ascii="Times New Roman"/>
      <w:sz w:val="28"/>
      <w:szCs w:val="28"/>
    </w:rPr>
  </w:style>
  <w:style w:type="paragraph" w:customStyle="1" w:styleId="afffb">
    <w:name w:val="封面一致性程度标识"/>
    <w:basedOn w:val="afffa"/>
    <w:pPr>
      <w:framePr w:wrap="around"/>
      <w:spacing w:before="440"/>
    </w:pPr>
    <w:rPr>
      <w:rFonts w:ascii="宋体" w:eastAsia="宋体"/>
    </w:rPr>
  </w:style>
  <w:style w:type="paragraph" w:customStyle="1" w:styleId="afffc">
    <w:name w:val="封面标准文稿类别"/>
    <w:basedOn w:val="afffb"/>
    <w:pPr>
      <w:framePr w:wrap="around"/>
      <w:spacing w:after="160" w:line="240" w:lineRule="auto"/>
    </w:pPr>
    <w:rPr>
      <w:sz w:val="24"/>
    </w:rPr>
  </w:style>
  <w:style w:type="paragraph" w:customStyle="1" w:styleId="afffd">
    <w:name w:val="封面标准文稿编辑信息"/>
    <w:basedOn w:val="afffc"/>
    <w:pPr>
      <w:framePr w:wrap="around"/>
      <w:spacing w:before="180" w:line="180" w:lineRule="exact"/>
    </w:pPr>
    <w:rPr>
      <w:sz w:val="21"/>
    </w:rPr>
  </w:style>
  <w:style w:type="paragraph" w:customStyle="1" w:styleId="afffe">
    <w:name w:val="封面正文"/>
    <w:pPr>
      <w:jc w:val="both"/>
    </w:pPr>
  </w:style>
  <w:style w:type="paragraph" w:customStyle="1" w:styleId="af5">
    <w:name w:val="附录标识"/>
    <w:basedOn w:val="aff"/>
    <w:next w:val="aff3"/>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
    <w:name w:val="附录标题"/>
    <w:basedOn w:val="aff3"/>
    <w:next w:val="aff3"/>
    <w:pPr>
      <w:ind w:firstLineChars="0" w:firstLine="0"/>
      <w:jc w:val="center"/>
    </w:pPr>
    <w:rPr>
      <w:rFonts w:ascii="黑体" w:eastAsia="黑体"/>
    </w:rPr>
  </w:style>
  <w:style w:type="paragraph" w:customStyle="1" w:styleId="af2">
    <w:name w:val="附录表标号"/>
    <w:basedOn w:val="aff"/>
    <w:next w:val="aff3"/>
    <w:pPr>
      <w:numPr>
        <w:numId w:val="7"/>
      </w:numPr>
      <w:tabs>
        <w:tab w:val="clear" w:pos="0"/>
      </w:tabs>
      <w:spacing w:line="14" w:lineRule="exact"/>
      <w:ind w:left="811" w:hanging="448"/>
      <w:jc w:val="center"/>
      <w:outlineLvl w:val="0"/>
    </w:pPr>
    <w:rPr>
      <w:color w:val="FFFFFF"/>
    </w:rPr>
  </w:style>
  <w:style w:type="paragraph" w:customStyle="1" w:styleId="af3">
    <w:name w:val="附录表标题"/>
    <w:basedOn w:val="aff"/>
    <w:next w:val="aff3"/>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8">
    <w:name w:val="附录二级条标题"/>
    <w:basedOn w:val="aff"/>
    <w:next w:val="aff3"/>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0">
    <w:name w:val="附录二级无"/>
    <w:basedOn w:val="af8"/>
    <w:pPr>
      <w:tabs>
        <w:tab w:val="clear" w:pos="360"/>
      </w:tabs>
      <w:spacing w:beforeLines="0" w:before="0" w:afterLines="0" w:after="0"/>
    </w:pPr>
    <w:rPr>
      <w:rFonts w:ascii="宋体" w:eastAsia="宋体"/>
      <w:szCs w:val="21"/>
    </w:rPr>
  </w:style>
  <w:style w:type="paragraph" w:customStyle="1" w:styleId="affff1">
    <w:name w:val="附录公式"/>
    <w:basedOn w:val="aff3"/>
    <w:next w:val="aff3"/>
    <w:link w:val="Char1"/>
    <w:qFormat/>
  </w:style>
  <w:style w:type="character" w:customStyle="1" w:styleId="Char1">
    <w:name w:val="附录公式 Char"/>
    <w:link w:val="affff1"/>
    <w:rPr>
      <w:rFonts w:ascii="宋体"/>
      <w:noProof/>
      <w:sz w:val="21"/>
      <w:lang w:val="en-US" w:eastAsia="zh-CN" w:bidi="ar-SA"/>
    </w:rPr>
  </w:style>
  <w:style w:type="paragraph" w:customStyle="1" w:styleId="affff2">
    <w:name w:val="附录公式编号制表符"/>
    <w:basedOn w:val="aff"/>
    <w:next w:val="aff3"/>
    <w:qFormat/>
    <w:pPr>
      <w:widowControl/>
      <w:tabs>
        <w:tab w:val="center" w:pos="4201"/>
        <w:tab w:val="right" w:leader="dot" w:pos="9298"/>
      </w:tabs>
      <w:autoSpaceDE w:val="0"/>
      <w:autoSpaceDN w:val="0"/>
    </w:pPr>
    <w:rPr>
      <w:rFonts w:ascii="宋体"/>
      <w:noProof/>
      <w:kern w:val="0"/>
      <w:szCs w:val="20"/>
    </w:rPr>
  </w:style>
  <w:style w:type="paragraph" w:customStyle="1" w:styleId="af9">
    <w:name w:val="附录三级条标题"/>
    <w:basedOn w:val="af8"/>
    <w:next w:val="aff3"/>
    <w:pPr>
      <w:numPr>
        <w:ilvl w:val="4"/>
      </w:numPr>
      <w:tabs>
        <w:tab w:val="num" w:pos="360"/>
      </w:tabs>
      <w:outlineLvl w:val="4"/>
    </w:pPr>
  </w:style>
  <w:style w:type="paragraph" w:customStyle="1" w:styleId="affff3">
    <w:name w:val="附录三级无"/>
    <w:basedOn w:val="af9"/>
    <w:pPr>
      <w:tabs>
        <w:tab w:val="clear" w:pos="360"/>
      </w:tabs>
      <w:spacing w:beforeLines="0" w:before="0" w:afterLines="0" w:after="0"/>
    </w:pPr>
    <w:rPr>
      <w:rFonts w:ascii="宋体" w:eastAsia="宋体"/>
      <w:szCs w:val="21"/>
    </w:rPr>
  </w:style>
  <w:style w:type="paragraph" w:customStyle="1" w:styleId="afd">
    <w:name w:val="附录数字编号列项（二级）"/>
    <w:qFormat/>
    <w:pPr>
      <w:numPr>
        <w:ilvl w:val="1"/>
        <w:numId w:val="10"/>
      </w:numPr>
    </w:pPr>
    <w:rPr>
      <w:rFonts w:ascii="宋体"/>
      <w:sz w:val="21"/>
    </w:rPr>
  </w:style>
  <w:style w:type="paragraph" w:customStyle="1" w:styleId="afa">
    <w:name w:val="附录四级条标题"/>
    <w:basedOn w:val="af9"/>
    <w:next w:val="aff3"/>
    <w:pPr>
      <w:numPr>
        <w:ilvl w:val="5"/>
      </w:numPr>
      <w:tabs>
        <w:tab w:val="num" w:pos="360"/>
      </w:tabs>
      <w:outlineLvl w:val="5"/>
    </w:pPr>
  </w:style>
  <w:style w:type="paragraph" w:customStyle="1" w:styleId="affff4">
    <w:name w:val="附录四级无"/>
    <w:basedOn w:val="afa"/>
    <w:pPr>
      <w:tabs>
        <w:tab w:val="clear" w:pos="360"/>
      </w:tabs>
      <w:spacing w:beforeLines="0" w:before="0" w:afterLines="0" w:after="0"/>
    </w:pPr>
    <w:rPr>
      <w:rFonts w:ascii="宋体" w:eastAsia="宋体"/>
      <w:szCs w:val="21"/>
    </w:rPr>
  </w:style>
  <w:style w:type="paragraph" w:customStyle="1" w:styleId="a9">
    <w:name w:val="附录图标号"/>
    <w:basedOn w:val="aff"/>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
    <w:next w:val="aff3"/>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b">
    <w:name w:val="附录五级条标题"/>
    <w:basedOn w:val="afa"/>
    <w:next w:val="aff3"/>
    <w:pPr>
      <w:numPr>
        <w:ilvl w:val="6"/>
      </w:numPr>
      <w:tabs>
        <w:tab w:val="num" w:pos="360"/>
      </w:tabs>
      <w:outlineLvl w:val="6"/>
    </w:pPr>
  </w:style>
  <w:style w:type="paragraph" w:customStyle="1" w:styleId="affff5">
    <w:name w:val="附录五级无"/>
    <w:basedOn w:val="afb"/>
    <w:pPr>
      <w:tabs>
        <w:tab w:val="clear" w:pos="360"/>
      </w:tabs>
      <w:spacing w:beforeLines="0" w:before="0" w:afterLines="0" w:after="0"/>
    </w:pPr>
    <w:rPr>
      <w:rFonts w:ascii="宋体" w:eastAsia="宋体"/>
      <w:szCs w:val="21"/>
    </w:rPr>
  </w:style>
  <w:style w:type="paragraph" w:customStyle="1" w:styleId="af6">
    <w:name w:val="附录章标题"/>
    <w:next w:val="aff3"/>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7">
    <w:name w:val="附录一级条标题"/>
    <w:basedOn w:val="af6"/>
    <w:next w:val="aff3"/>
    <w:pPr>
      <w:numPr>
        <w:ilvl w:val="2"/>
      </w:numPr>
      <w:tabs>
        <w:tab w:val="num" w:pos="360"/>
      </w:tabs>
      <w:autoSpaceDN w:val="0"/>
      <w:spacing w:beforeLines="50" w:before="50" w:afterLines="50" w:after="50"/>
      <w:outlineLvl w:val="2"/>
    </w:pPr>
  </w:style>
  <w:style w:type="paragraph" w:customStyle="1" w:styleId="affff6">
    <w:name w:val="附录一级无"/>
    <w:basedOn w:val="af7"/>
    <w:pPr>
      <w:tabs>
        <w:tab w:val="clear" w:pos="360"/>
      </w:tabs>
      <w:spacing w:beforeLines="0" w:before="0" w:afterLines="0" w:after="0"/>
    </w:pPr>
    <w:rPr>
      <w:rFonts w:ascii="宋体" w:eastAsia="宋体"/>
      <w:szCs w:val="21"/>
    </w:rPr>
  </w:style>
  <w:style w:type="paragraph" w:customStyle="1" w:styleId="afc">
    <w:name w:val="附录字母编号列项（一级）"/>
    <w:qFormat/>
    <w:pPr>
      <w:numPr>
        <w:numId w:val="10"/>
      </w:numPr>
    </w:pPr>
    <w:rPr>
      <w:rFonts w:ascii="宋体"/>
      <w:noProof/>
      <w:sz w:val="21"/>
    </w:rPr>
  </w:style>
  <w:style w:type="paragraph" w:styleId="ae">
    <w:name w:val="footnote text"/>
    <w:basedOn w:val="aff"/>
    <w:pPr>
      <w:numPr>
        <w:numId w:val="12"/>
      </w:numPr>
      <w:snapToGrid w:val="0"/>
      <w:jc w:val="left"/>
    </w:pPr>
    <w:rPr>
      <w:rFonts w:ascii="宋体"/>
      <w:sz w:val="18"/>
      <w:szCs w:val="18"/>
    </w:rPr>
  </w:style>
  <w:style w:type="character" w:styleId="affff7">
    <w:name w:val="footnote reference"/>
    <w:semiHidden/>
    <w:rPr>
      <w:vertAlign w:val="superscript"/>
    </w:rPr>
  </w:style>
  <w:style w:type="paragraph" w:customStyle="1" w:styleId="affff8">
    <w:name w:val="列项说明"/>
    <w:basedOn w:val="aff"/>
    <w:pPr>
      <w:adjustRightInd w:val="0"/>
      <w:spacing w:line="320" w:lineRule="exact"/>
      <w:ind w:leftChars="200" w:left="400" w:hangingChars="200" w:hanging="200"/>
      <w:jc w:val="left"/>
      <w:textAlignment w:val="baseline"/>
    </w:pPr>
    <w:rPr>
      <w:rFonts w:ascii="宋体"/>
      <w:kern w:val="0"/>
      <w:szCs w:val="20"/>
    </w:rPr>
  </w:style>
  <w:style w:type="paragraph" w:customStyle="1" w:styleId="affff9">
    <w:name w:val="列项说明数字编号"/>
    <w:pPr>
      <w:ind w:leftChars="400" w:left="600" w:hangingChars="200" w:hanging="200"/>
    </w:pPr>
    <w:rPr>
      <w:rFonts w:ascii="宋体"/>
      <w:sz w:val="21"/>
    </w:rPr>
  </w:style>
  <w:style w:type="paragraph" w:customStyle="1" w:styleId="affffa">
    <w:name w:val="目次、索引正文"/>
    <w:pPr>
      <w:spacing w:line="320" w:lineRule="exact"/>
      <w:jc w:val="both"/>
    </w:pPr>
    <w:rPr>
      <w:rFonts w:ascii="宋体"/>
      <w:sz w:val="21"/>
    </w:rPr>
  </w:style>
  <w:style w:type="paragraph" w:styleId="31">
    <w:name w:val="toc 3"/>
    <w:basedOn w:val="aff"/>
    <w:next w:val="aff"/>
    <w:autoRedefine/>
    <w:uiPriority w:val="39"/>
    <w:pPr>
      <w:tabs>
        <w:tab w:val="right" w:leader="dot" w:pos="9241"/>
      </w:tabs>
      <w:ind w:firstLineChars="100" w:firstLine="102"/>
      <w:jc w:val="left"/>
    </w:pPr>
    <w:rPr>
      <w:rFonts w:ascii="宋体"/>
      <w:szCs w:val="21"/>
    </w:rPr>
  </w:style>
  <w:style w:type="paragraph" w:styleId="40">
    <w:name w:val="toc 4"/>
    <w:basedOn w:val="aff"/>
    <w:next w:val="aff"/>
    <w:autoRedefine/>
    <w:uiPriority w:val="39"/>
    <w:pPr>
      <w:tabs>
        <w:tab w:val="right" w:leader="dot" w:pos="9241"/>
      </w:tabs>
      <w:ind w:firstLineChars="200" w:firstLine="198"/>
      <w:jc w:val="left"/>
    </w:pPr>
    <w:rPr>
      <w:rFonts w:ascii="宋体"/>
      <w:szCs w:val="21"/>
    </w:rPr>
  </w:style>
  <w:style w:type="paragraph" w:styleId="5">
    <w:name w:val="toc 5"/>
    <w:basedOn w:val="aff"/>
    <w:next w:val="aff"/>
    <w:autoRedefine/>
    <w:semiHidden/>
    <w:pPr>
      <w:tabs>
        <w:tab w:val="right" w:leader="dot" w:pos="9241"/>
      </w:tabs>
      <w:ind w:firstLineChars="300" w:firstLine="300"/>
      <w:jc w:val="left"/>
    </w:pPr>
    <w:rPr>
      <w:rFonts w:ascii="宋体"/>
      <w:szCs w:val="21"/>
    </w:rPr>
  </w:style>
  <w:style w:type="paragraph" w:styleId="6">
    <w:name w:val="toc 6"/>
    <w:basedOn w:val="aff"/>
    <w:next w:val="aff"/>
    <w:autoRedefine/>
    <w:semiHidden/>
    <w:pPr>
      <w:tabs>
        <w:tab w:val="right" w:leader="dot" w:pos="9241"/>
      </w:tabs>
      <w:ind w:firstLineChars="400" w:firstLine="403"/>
      <w:jc w:val="left"/>
    </w:pPr>
    <w:rPr>
      <w:rFonts w:ascii="宋体"/>
      <w:szCs w:val="21"/>
    </w:rPr>
  </w:style>
  <w:style w:type="paragraph" w:styleId="7">
    <w:name w:val="toc 7"/>
    <w:basedOn w:val="aff"/>
    <w:next w:val="aff"/>
    <w:autoRedefine/>
    <w:semiHidden/>
    <w:pPr>
      <w:tabs>
        <w:tab w:val="right" w:leader="dot" w:pos="9241"/>
      </w:tabs>
      <w:ind w:firstLineChars="500" w:firstLine="505"/>
      <w:jc w:val="left"/>
    </w:pPr>
    <w:rPr>
      <w:rFonts w:ascii="宋体"/>
      <w:szCs w:val="21"/>
    </w:rPr>
  </w:style>
  <w:style w:type="paragraph" w:styleId="8">
    <w:name w:val="toc 8"/>
    <w:basedOn w:val="aff"/>
    <w:next w:val="aff"/>
    <w:autoRedefine/>
    <w:semiHidden/>
    <w:pPr>
      <w:tabs>
        <w:tab w:val="right" w:leader="dot" w:pos="9241"/>
      </w:tabs>
      <w:ind w:firstLineChars="600" w:firstLine="607"/>
      <w:jc w:val="left"/>
    </w:pPr>
    <w:rPr>
      <w:rFonts w:ascii="宋体"/>
      <w:szCs w:val="21"/>
    </w:rPr>
  </w:style>
  <w:style w:type="paragraph" w:styleId="9">
    <w:name w:val="toc 9"/>
    <w:basedOn w:val="aff"/>
    <w:next w:val="aff"/>
    <w:autoRedefine/>
    <w:semiHidden/>
    <w:pPr>
      <w:ind w:left="1470"/>
      <w:jc w:val="left"/>
    </w:pPr>
    <w:rPr>
      <w:sz w:val="20"/>
      <w:szCs w:val="20"/>
    </w:rPr>
  </w:style>
  <w:style w:type="paragraph" w:customStyle="1" w:styleId="affffb">
    <w:name w:val="其他标准标志"/>
    <w:basedOn w:val="affd"/>
    <w:pPr>
      <w:framePr w:w="6101" w:wrap="around" w:vAnchor="page" w:hAnchor="page" w:x="4673" w:y="942"/>
    </w:pPr>
    <w:rPr>
      <w:w w:val="130"/>
    </w:rPr>
  </w:style>
  <w:style w:type="paragraph" w:customStyle="1" w:styleId="affffc">
    <w:name w:val="其他标准称谓"/>
    <w:next w:val="af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d">
    <w:name w:val="其他发布部门"/>
    <w:basedOn w:val="afff6"/>
    <w:pPr>
      <w:framePr w:wrap="around" w:y="15310"/>
      <w:spacing w:line="0" w:lineRule="atLeast"/>
    </w:pPr>
    <w:rPr>
      <w:rFonts w:ascii="黑体" w:eastAsia="黑体"/>
      <w:b w:val="0"/>
    </w:rPr>
  </w:style>
  <w:style w:type="paragraph" w:customStyle="1" w:styleId="affffe">
    <w:name w:val="前言、引言标题"/>
    <w:next w:val="aff3"/>
    <w:pPr>
      <w:keepNext/>
      <w:pageBreakBefore/>
      <w:shd w:val="clear" w:color="FFFFFF" w:fill="FFFFFF"/>
      <w:spacing w:before="640" w:after="560"/>
      <w:jc w:val="center"/>
      <w:outlineLvl w:val="0"/>
    </w:pPr>
    <w:rPr>
      <w:rFonts w:ascii="黑体" w:eastAsia="黑体"/>
      <w:sz w:val="32"/>
    </w:rPr>
  </w:style>
  <w:style w:type="paragraph" w:customStyle="1" w:styleId="afffff">
    <w:name w:val="三级无"/>
    <w:basedOn w:val="aff7"/>
    <w:pPr>
      <w:spacing w:beforeLines="0" w:before="0" w:afterLines="0" w:after="0"/>
    </w:pPr>
    <w:rPr>
      <w:rFonts w:ascii="宋体" w:eastAsia="宋体"/>
    </w:rPr>
  </w:style>
  <w:style w:type="paragraph" w:customStyle="1" w:styleId="afffff0">
    <w:name w:val="实施日期"/>
    <w:basedOn w:val="afff7"/>
    <w:pPr>
      <w:framePr w:wrap="around" w:vAnchor="page" w:hAnchor="text"/>
      <w:jc w:val="right"/>
    </w:pPr>
  </w:style>
  <w:style w:type="paragraph" w:customStyle="1" w:styleId="afffff1">
    <w:name w:val="示例后文字"/>
    <w:basedOn w:val="aff3"/>
    <w:next w:val="aff3"/>
    <w:qFormat/>
    <w:pPr>
      <w:ind w:firstLine="360"/>
    </w:pPr>
    <w:rPr>
      <w:sz w:val="18"/>
    </w:rPr>
  </w:style>
  <w:style w:type="paragraph" w:customStyle="1" w:styleId="afffff2">
    <w:name w:val="首示例"/>
    <w:next w:val="aff3"/>
    <w:link w:val="Char2"/>
    <w:qFormat/>
    <w:pPr>
      <w:tabs>
        <w:tab w:val="num" w:pos="360"/>
      </w:tabs>
    </w:pPr>
    <w:rPr>
      <w:rFonts w:ascii="宋体" w:hAnsi="宋体"/>
      <w:kern w:val="2"/>
      <w:sz w:val="18"/>
      <w:szCs w:val="18"/>
    </w:rPr>
  </w:style>
  <w:style w:type="character" w:customStyle="1" w:styleId="Char2">
    <w:name w:val="首示例 Char"/>
    <w:link w:val="afffff2"/>
    <w:rPr>
      <w:rFonts w:ascii="宋体" w:hAnsi="宋体"/>
      <w:kern w:val="2"/>
      <w:sz w:val="18"/>
      <w:szCs w:val="18"/>
    </w:rPr>
  </w:style>
  <w:style w:type="paragraph" w:customStyle="1" w:styleId="afffff3">
    <w:name w:val="四级无"/>
    <w:basedOn w:val="a6"/>
    <w:pPr>
      <w:spacing w:beforeLines="0" w:before="0" w:afterLines="0" w:after="0"/>
    </w:pPr>
    <w:rPr>
      <w:rFonts w:ascii="宋体" w:eastAsia="宋体"/>
    </w:rPr>
  </w:style>
  <w:style w:type="paragraph" w:styleId="11">
    <w:name w:val="index 1"/>
    <w:basedOn w:val="aff"/>
    <w:next w:val="aff3"/>
    <w:pPr>
      <w:tabs>
        <w:tab w:val="right" w:leader="dot" w:pos="9299"/>
      </w:tabs>
      <w:jc w:val="left"/>
    </w:pPr>
    <w:rPr>
      <w:rFonts w:ascii="宋体"/>
      <w:szCs w:val="21"/>
    </w:rPr>
  </w:style>
  <w:style w:type="paragraph" w:styleId="21">
    <w:name w:val="index 2"/>
    <w:basedOn w:val="aff"/>
    <w:next w:val="aff"/>
    <w:autoRedefine/>
    <w:pPr>
      <w:ind w:left="420" w:hanging="210"/>
      <w:jc w:val="left"/>
    </w:pPr>
    <w:rPr>
      <w:rFonts w:ascii="Calibri" w:hAnsi="Calibri"/>
      <w:sz w:val="20"/>
      <w:szCs w:val="20"/>
    </w:rPr>
  </w:style>
  <w:style w:type="paragraph" w:styleId="32">
    <w:name w:val="index 3"/>
    <w:basedOn w:val="aff"/>
    <w:next w:val="aff"/>
    <w:autoRedefine/>
    <w:pPr>
      <w:ind w:left="630" w:hanging="210"/>
      <w:jc w:val="left"/>
    </w:pPr>
    <w:rPr>
      <w:rFonts w:ascii="Calibri" w:hAnsi="Calibri"/>
      <w:sz w:val="20"/>
      <w:szCs w:val="20"/>
    </w:rPr>
  </w:style>
  <w:style w:type="paragraph" w:styleId="41">
    <w:name w:val="index 4"/>
    <w:basedOn w:val="aff"/>
    <w:next w:val="aff"/>
    <w:autoRedefine/>
    <w:pPr>
      <w:ind w:left="840" w:hanging="210"/>
      <w:jc w:val="left"/>
    </w:pPr>
    <w:rPr>
      <w:rFonts w:ascii="Calibri" w:hAnsi="Calibri"/>
      <w:sz w:val="20"/>
      <w:szCs w:val="20"/>
    </w:rPr>
  </w:style>
  <w:style w:type="paragraph" w:styleId="50">
    <w:name w:val="index 5"/>
    <w:basedOn w:val="aff"/>
    <w:next w:val="aff"/>
    <w:autoRedefine/>
    <w:pPr>
      <w:ind w:left="1050" w:hanging="210"/>
      <w:jc w:val="left"/>
    </w:pPr>
    <w:rPr>
      <w:rFonts w:ascii="Calibri" w:hAnsi="Calibri"/>
      <w:sz w:val="20"/>
      <w:szCs w:val="20"/>
    </w:rPr>
  </w:style>
  <w:style w:type="paragraph" w:styleId="60">
    <w:name w:val="index 6"/>
    <w:basedOn w:val="aff"/>
    <w:next w:val="aff"/>
    <w:autoRedefine/>
    <w:pPr>
      <w:ind w:left="1260" w:hanging="210"/>
      <w:jc w:val="left"/>
    </w:pPr>
    <w:rPr>
      <w:rFonts w:ascii="Calibri" w:hAnsi="Calibri"/>
      <w:sz w:val="20"/>
      <w:szCs w:val="20"/>
    </w:rPr>
  </w:style>
  <w:style w:type="paragraph" w:styleId="70">
    <w:name w:val="index 7"/>
    <w:basedOn w:val="aff"/>
    <w:next w:val="aff"/>
    <w:autoRedefine/>
    <w:pPr>
      <w:ind w:left="1470" w:hanging="210"/>
      <w:jc w:val="left"/>
    </w:pPr>
    <w:rPr>
      <w:rFonts w:ascii="Calibri" w:hAnsi="Calibri"/>
      <w:sz w:val="20"/>
      <w:szCs w:val="20"/>
    </w:rPr>
  </w:style>
  <w:style w:type="paragraph" w:styleId="80">
    <w:name w:val="index 8"/>
    <w:basedOn w:val="aff"/>
    <w:next w:val="aff"/>
    <w:autoRedefine/>
    <w:pPr>
      <w:ind w:left="1680" w:hanging="210"/>
      <w:jc w:val="left"/>
    </w:pPr>
    <w:rPr>
      <w:rFonts w:ascii="Calibri" w:hAnsi="Calibri"/>
      <w:sz w:val="20"/>
      <w:szCs w:val="20"/>
    </w:rPr>
  </w:style>
  <w:style w:type="paragraph" w:styleId="90">
    <w:name w:val="index 9"/>
    <w:basedOn w:val="aff"/>
    <w:next w:val="aff"/>
    <w:autoRedefine/>
    <w:pPr>
      <w:ind w:left="1890" w:hanging="210"/>
      <w:jc w:val="left"/>
    </w:pPr>
    <w:rPr>
      <w:rFonts w:ascii="Calibri" w:hAnsi="Calibri"/>
      <w:sz w:val="20"/>
      <w:szCs w:val="20"/>
    </w:rPr>
  </w:style>
  <w:style w:type="paragraph" w:styleId="afffff4">
    <w:name w:val="index heading"/>
    <w:basedOn w:val="aff"/>
    <w:next w:val="11"/>
    <w:pPr>
      <w:spacing w:before="120" w:after="120"/>
      <w:jc w:val="center"/>
    </w:pPr>
    <w:rPr>
      <w:rFonts w:ascii="Calibri" w:hAnsi="Calibri"/>
      <w:b/>
      <w:bCs/>
      <w:iCs/>
      <w:szCs w:val="20"/>
    </w:rPr>
  </w:style>
  <w:style w:type="paragraph" w:styleId="afffff5">
    <w:name w:val="caption"/>
    <w:basedOn w:val="aff"/>
    <w:next w:val="aff"/>
    <w:qFormat/>
    <w:pPr>
      <w:spacing w:before="152" w:after="160"/>
    </w:pPr>
    <w:rPr>
      <w:rFonts w:ascii="Arial" w:eastAsia="黑体" w:hAnsi="Arial" w:cs="Arial"/>
      <w:sz w:val="20"/>
      <w:szCs w:val="20"/>
    </w:rPr>
  </w:style>
  <w:style w:type="paragraph" w:customStyle="1" w:styleId="afffff6">
    <w:name w:val="条文脚注"/>
    <w:basedOn w:val="ae"/>
    <w:pPr>
      <w:numPr>
        <w:numId w:val="0"/>
      </w:numPr>
      <w:jc w:val="both"/>
    </w:pPr>
  </w:style>
  <w:style w:type="paragraph" w:customStyle="1" w:styleId="afffff7">
    <w:name w:val="图标脚注说明"/>
    <w:basedOn w:val="aff3"/>
    <w:pPr>
      <w:ind w:left="840" w:firstLineChars="0" w:hanging="420"/>
    </w:pPr>
    <w:rPr>
      <w:sz w:val="18"/>
      <w:szCs w:val="18"/>
    </w:rPr>
  </w:style>
  <w:style w:type="paragraph" w:customStyle="1" w:styleId="afffff8">
    <w:name w:val="图表脚注说明"/>
    <w:basedOn w:val="aff"/>
    <w:pPr>
      <w:ind w:left="544" w:hanging="181"/>
    </w:pPr>
    <w:rPr>
      <w:rFonts w:ascii="宋体"/>
      <w:sz w:val="18"/>
      <w:szCs w:val="18"/>
    </w:rPr>
  </w:style>
  <w:style w:type="paragraph" w:customStyle="1" w:styleId="afffff9">
    <w:name w:val="图的脚注"/>
    <w:next w:val="aff3"/>
    <w:autoRedefine/>
    <w:qFormat/>
    <w:pPr>
      <w:widowControl w:val="0"/>
      <w:ind w:leftChars="200" w:left="840" w:hangingChars="200" w:hanging="420"/>
      <w:jc w:val="both"/>
    </w:pPr>
    <w:rPr>
      <w:rFonts w:ascii="宋体"/>
      <w:sz w:val="18"/>
    </w:rPr>
  </w:style>
  <w:style w:type="table" w:styleId="afffffa">
    <w:name w:val="Table Grid"/>
    <w:basedOn w:val="aff1"/>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
    <w:semiHidden/>
    <w:pPr>
      <w:snapToGrid w:val="0"/>
      <w:jc w:val="left"/>
    </w:pPr>
  </w:style>
  <w:style w:type="character" w:styleId="afffffc">
    <w:name w:val="endnote reference"/>
    <w:semiHidden/>
    <w:rPr>
      <w:vertAlign w:val="superscript"/>
    </w:rPr>
  </w:style>
  <w:style w:type="paragraph" w:styleId="afffffd">
    <w:name w:val="Document Map"/>
    <w:basedOn w:val="aff"/>
    <w:semiHidden/>
    <w:pPr>
      <w:shd w:val="clear" w:color="auto" w:fill="000080"/>
    </w:pPr>
  </w:style>
  <w:style w:type="paragraph" w:customStyle="1" w:styleId="afffffe">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7"/>
    <w:pPr>
      <w:spacing w:beforeLines="0" w:before="0" w:afterLines="0" w:after="0"/>
    </w:pPr>
    <w:rPr>
      <w:rFonts w:ascii="宋体" w:eastAsia="宋体"/>
    </w:rPr>
  </w:style>
  <w:style w:type="character" w:styleId="affffff0">
    <w:name w:val="page number"/>
    <w:rPr>
      <w:rFonts w:ascii="Times New Roman" w:eastAsia="宋体" w:hAnsi="Times New Roman"/>
      <w:sz w:val="18"/>
    </w:rPr>
  </w:style>
  <w:style w:type="paragraph" w:customStyle="1" w:styleId="affffff1">
    <w:name w:val="一级无"/>
    <w:basedOn w:val="a4"/>
    <w:pPr>
      <w:spacing w:beforeLines="0" w:before="0" w:afterLines="0" w:after="0"/>
    </w:pPr>
    <w:rPr>
      <w:rFonts w:ascii="宋体" w:eastAsia="宋体"/>
    </w:rPr>
  </w:style>
  <w:style w:type="character" w:styleId="affffff2">
    <w:name w:val="FollowedHyperlink"/>
    <w:rPr>
      <w:color w:val="800080"/>
      <w:u w:val="single"/>
    </w:rPr>
  </w:style>
  <w:style w:type="paragraph" w:customStyle="1" w:styleId="af4">
    <w:name w:val="正文表标题"/>
    <w:next w:val="aff3"/>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3"/>
    <w:next w:val="aff3"/>
    <w:qFormat/>
    <w:pPr>
      <w:ind w:firstLineChars="0" w:firstLine="0"/>
    </w:pPr>
  </w:style>
  <w:style w:type="paragraph" w:customStyle="1" w:styleId="a1">
    <w:name w:val="正文图标题"/>
    <w:next w:val="aff3"/>
    <w:pPr>
      <w:numPr>
        <w:numId w:val="18"/>
      </w:numPr>
      <w:spacing w:beforeLines="50" w:before="156" w:afterLines="50" w:after="156"/>
      <w:jc w:val="center"/>
    </w:pPr>
    <w:rPr>
      <w:rFonts w:ascii="黑体" w:eastAsia="黑体"/>
      <w:sz w:val="21"/>
    </w:rPr>
  </w:style>
  <w:style w:type="paragraph" w:customStyle="1" w:styleId="affffff4">
    <w:name w:val="终结线"/>
    <w:basedOn w:val="aff"/>
    <w:pPr>
      <w:framePr w:hSpace="181" w:vSpace="181" w:wrap="around" w:vAnchor="text" w:hAnchor="margin" w:xAlign="center" w:y="285"/>
    </w:pPr>
  </w:style>
  <w:style w:type="paragraph" w:customStyle="1" w:styleId="affffff5">
    <w:name w:val="其他发布日期"/>
    <w:basedOn w:val="afff7"/>
    <w:pPr>
      <w:framePr w:wrap="around" w:vAnchor="page" w:hAnchor="text" w:x="1419"/>
    </w:pPr>
  </w:style>
  <w:style w:type="paragraph" w:customStyle="1" w:styleId="affffff6">
    <w:name w:val="其他实施日期"/>
    <w:basedOn w:val="afffff0"/>
    <w:pPr>
      <w:framePr w:wrap="around"/>
    </w:pPr>
  </w:style>
  <w:style w:type="paragraph" w:customStyle="1" w:styleId="22">
    <w:name w:val="封面标准名称2"/>
    <w:basedOn w:val="afff9"/>
    <w:pPr>
      <w:framePr w:wrap="around" w:y="4469"/>
      <w:spacing w:beforeLines="630" w:before="630"/>
    </w:pPr>
  </w:style>
  <w:style w:type="paragraph" w:customStyle="1" w:styleId="23">
    <w:name w:val="封面标准英文名称2"/>
    <w:basedOn w:val="afffa"/>
    <w:pPr>
      <w:framePr w:wrap="around" w:y="4469"/>
    </w:pPr>
  </w:style>
  <w:style w:type="paragraph" w:customStyle="1" w:styleId="24">
    <w:name w:val="封面一致性程度标识2"/>
    <w:basedOn w:val="afffb"/>
    <w:pPr>
      <w:framePr w:wrap="around" w:y="4469"/>
    </w:pPr>
  </w:style>
  <w:style w:type="paragraph" w:customStyle="1" w:styleId="25">
    <w:name w:val="封面标准文稿类别2"/>
    <w:basedOn w:val="afffc"/>
    <w:pPr>
      <w:framePr w:wrap="around" w:y="4469"/>
    </w:pPr>
  </w:style>
  <w:style w:type="paragraph" w:customStyle="1" w:styleId="26">
    <w:name w:val="封面标准文稿编辑信息2"/>
    <w:basedOn w:val="afffd"/>
    <w:pPr>
      <w:framePr w:wrap="around" w:y="4469"/>
    </w:pPr>
  </w:style>
  <w:style w:type="paragraph" w:customStyle="1" w:styleId="aff8">
    <w:name w:val="示例内容"/>
    <w:pPr>
      <w:ind w:firstLineChars="200" w:firstLine="200"/>
    </w:pPr>
    <w:rPr>
      <w:rFonts w:ascii="宋体"/>
      <w:noProof/>
      <w:sz w:val="18"/>
      <w:szCs w:val="18"/>
    </w:rPr>
  </w:style>
  <w:style w:type="character" w:customStyle="1" w:styleId="Char0">
    <w:name w:val="一级条标题 Char"/>
    <w:link w:val="a4"/>
    <w:rPr>
      <w:rFonts w:ascii="黑体" w:eastAsia="黑体"/>
      <w:sz w:val="21"/>
      <w:szCs w:val="21"/>
      <w:lang w:val="en-US" w:eastAsia="zh-CN" w:bidi="ar-SA"/>
    </w:rPr>
  </w:style>
  <w:style w:type="paragraph" w:styleId="12">
    <w:name w:val="toc 1"/>
    <w:basedOn w:val="aff"/>
    <w:next w:val="aff"/>
    <w:autoRedefine/>
    <w:uiPriority w:val="39"/>
    <w:rsid w:val="00655319"/>
    <w:pPr>
      <w:tabs>
        <w:tab w:val="right" w:leader="dot" w:pos="9241"/>
      </w:tabs>
      <w:spacing w:beforeLines="25" w:before="78" w:afterLines="25" w:after="78"/>
      <w:jc w:val="left"/>
    </w:pPr>
    <w:rPr>
      <w:rFonts w:ascii="宋体"/>
      <w:szCs w:val="21"/>
    </w:rPr>
  </w:style>
  <w:style w:type="paragraph" w:styleId="27">
    <w:name w:val="toc 2"/>
    <w:basedOn w:val="aff"/>
    <w:next w:val="aff"/>
    <w:autoRedefine/>
    <w:uiPriority w:val="39"/>
    <w:pPr>
      <w:tabs>
        <w:tab w:val="right" w:leader="dot" w:pos="9241"/>
      </w:tabs>
    </w:pPr>
    <w:rPr>
      <w:rFonts w:ascii="宋体"/>
      <w:szCs w:val="21"/>
    </w:rPr>
  </w:style>
  <w:style w:type="paragraph" w:styleId="affffff7">
    <w:name w:val="Balloon Text"/>
    <w:basedOn w:val="aff"/>
    <w:semiHidden/>
    <w:rPr>
      <w:sz w:val="18"/>
      <w:szCs w:val="18"/>
    </w:rPr>
  </w:style>
  <w:style w:type="paragraph" w:customStyle="1" w:styleId="3">
    <w:name w:val="3级无"/>
    <w:basedOn w:val="aff"/>
    <w:pPr>
      <w:numPr>
        <w:ilvl w:val="3"/>
        <w:numId w:val="16"/>
      </w:numPr>
    </w:pPr>
  </w:style>
  <w:style w:type="character" w:styleId="affffff8">
    <w:name w:val="annotation reference"/>
    <w:semiHidden/>
    <w:rPr>
      <w:sz w:val="21"/>
      <w:szCs w:val="21"/>
    </w:rPr>
  </w:style>
  <w:style w:type="paragraph" w:styleId="affffff9">
    <w:name w:val="annotation text"/>
    <w:basedOn w:val="aff"/>
    <w:semiHidden/>
    <w:pPr>
      <w:jc w:val="left"/>
    </w:pPr>
  </w:style>
  <w:style w:type="paragraph" w:styleId="affffffa">
    <w:name w:val="annotation subject"/>
    <w:basedOn w:val="affffff9"/>
    <w:next w:val="affffff9"/>
    <w:semiHidden/>
    <w:rPr>
      <w:b/>
      <w:bCs/>
    </w:rPr>
  </w:style>
  <w:style w:type="paragraph" w:customStyle="1" w:styleId="CharChar4CharCharChar">
    <w:name w:val="Char Char4 Char Char Char"/>
    <w:basedOn w:val="aff"/>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
    <w:name w:val="Char Char Char Char Char Char"/>
    <w:basedOn w:val="aff"/>
    <w:pPr>
      <w:widowControl/>
      <w:spacing w:after="160" w:line="240" w:lineRule="exact"/>
      <w:jc w:val="left"/>
    </w:pPr>
    <w:rPr>
      <w:rFonts w:ascii="Arial" w:eastAsia="Times New Roman" w:hAnsi="Arial" w:cs="Verdana"/>
      <w:b/>
      <w:kern w:val="0"/>
      <w:sz w:val="24"/>
      <w:lang w:eastAsia="en-US"/>
    </w:rPr>
  </w:style>
  <w:style w:type="paragraph" w:customStyle="1" w:styleId="CharChar4CharCharChar0">
    <w:name w:val="Char Char4 Char Char Char"/>
    <w:basedOn w:val="aff"/>
    <w:pPr>
      <w:widowControl/>
      <w:spacing w:after="160" w:line="240" w:lineRule="exact"/>
      <w:jc w:val="left"/>
    </w:pPr>
    <w:rPr>
      <w:rFonts w:ascii="Arial" w:eastAsia="Times New Roman" w:hAnsi="Arial" w:cs="Verdana"/>
      <w:b/>
      <w:kern w:val="0"/>
      <w:sz w:val="24"/>
      <w:lang w:eastAsia="en-US"/>
    </w:rPr>
  </w:style>
  <w:style w:type="paragraph" w:styleId="affffffb">
    <w:name w:val="Normal (Web)"/>
    <w:basedOn w:val="aff"/>
    <w:pPr>
      <w:widowControl/>
      <w:spacing w:before="100" w:beforeAutospacing="1" w:after="100" w:afterAutospacing="1"/>
      <w:jc w:val="left"/>
    </w:pPr>
    <w:rPr>
      <w:rFonts w:ascii="宋体" w:hAnsi="宋体" w:cs="宋体"/>
      <w:kern w:val="0"/>
      <w:sz w:val="24"/>
    </w:rPr>
  </w:style>
  <w:style w:type="paragraph" w:customStyle="1" w:styleId="CharChar">
    <w:name w:val="Char Char"/>
    <w:basedOn w:val="aff"/>
    <w:pPr>
      <w:widowControl/>
      <w:spacing w:after="160" w:line="240" w:lineRule="exact"/>
      <w:jc w:val="left"/>
    </w:pPr>
    <w:rPr>
      <w:rFonts w:ascii="Arial" w:eastAsia="Times New Roman" w:hAnsi="Arial" w:cs="Verdana"/>
      <w:b/>
      <w:kern w:val="0"/>
      <w:sz w:val="24"/>
      <w:lang w:eastAsia="en-US"/>
    </w:rPr>
  </w:style>
  <w:style w:type="paragraph" w:styleId="affffffc">
    <w:name w:val="Date"/>
    <w:basedOn w:val="aff"/>
    <w:next w:val="aff"/>
    <w:link w:val="affffffd"/>
    <w:pPr>
      <w:ind w:leftChars="2500" w:left="100"/>
    </w:pPr>
  </w:style>
  <w:style w:type="character" w:customStyle="1" w:styleId="affffffd">
    <w:name w:val="日期 字符"/>
    <w:link w:val="affffffc"/>
    <w:rPr>
      <w:kern w:val="2"/>
      <w:sz w:val="21"/>
      <w:szCs w:val="24"/>
    </w:rPr>
  </w:style>
  <w:style w:type="paragraph" w:styleId="TOC">
    <w:name w:val="TOC Heading"/>
    <w:basedOn w:val="1"/>
    <w:next w:val="aff"/>
    <w:uiPriority w:val="39"/>
    <w:unhideWhenUsed/>
    <w:qFormat/>
    <w:rsid w:val="00655319"/>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F760-6212-4811-9104-8409D596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1265</Words>
  <Characters>7212</Characters>
  <Application>Microsoft Office Word</Application>
  <DocSecurity>0</DocSecurity>
  <Lines>60</Lines>
  <Paragraphs>16</Paragraphs>
  <ScaleCrop>false</ScaleCrop>
  <Company>bmilp</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zhouql</cp:lastModifiedBy>
  <cp:revision>11</cp:revision>
  <cp:lastPrinted>2021-08-30T08:33:00Z</cp:lastPrinted>
  <dcterms:created xsi:type="dcterms:W3CDTF">2021-08-30T08:22:00Z</dcterms:created>
  <dcterms:modified xsi:type="dcterms:W3CDTF">2021-08-30T08:36:00Z</dcterms:modified>
</cp:coreProperties>
</file>